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2533" w14:textId="7432BBC9" w:rsidR="00EB0341" w:rsidRPr="0028149C" w:rsidRDefault="0028149C">
      <w:pPr>
        <w:pStyle w:val="Title"/>
      </w:pPr>
      <w:r>
        <w:rPr>
          <w:w w:val="105"/>
        </w:rPr>
        <w:t xml:space="preserve">MSAB - </w:t>
      </w:r>
      <w:r w:rsidR="00211C81" w:rsidRPr="0028149C">
        <w:rPr>
          <w:w w:val="105"/>
        </w:rPr>
        <w:t>Ersättningsrapport</w:t>
      </w:r>
      <w:r w:rsidR="00211C81" w:rsidRPr="0028149C">
        <w:rPr>
          <w:spacing w:val="-3"/>
          <w:w w:val="105"/>
        </w:rPr>
        <w:t xml:space="preserve"> </w:t>
      </w:r>
      <w:r w:rsidR="00211C81" w:rsidRPr="0028149C">
        <w:rPr>
          <w:w w:val="105"/>
        </w:rPr>
        <w:t>202</w:t>
      </w:r>
      <w:r w:rsidR="00EF0FF6">
        <w:rPr>
          <w:w w:val="105"/>
        </w:rPr>
        <w:t>2</w:t>
      </w:r>
    </w:p>
    <w:p w14:paraId="4C2FB85E" w14:textId="77777777" w:rsidR="00EB0341" w:rsidRPr="0028149C" w:rsidRDefault="00211C81">
      <w:pPr>
        <w:pStyle w:val="Heading1"/>
        <w:spacing w:before="193"/>
        <w:rPr>
          <w:u w:val="none"/>
        </w:rPr>
      </w:pPr>
      <w:r w:rsidRPr="0028149C">
        <w:rPr>
          <w:w w:val="105"/>
        </w:rPr>
        <w:t>Introduktion</w:t>
      </w:r>
    </w:p>
    <w:p w14:paraId="5DC0D9BF" w14:textId="3531C24A" w:rsidR="00EB0341" w:rsidRPr="0028149C" w:rsidRDefault="00211C81">
      <w:pPr>
        <w:pStyle w:val="BodyText"/>
        <w:spacing w:before="187"/>
        <w:ind w:left="140" w:right="457"/>
        <w:jc w:val="both"/>
      </w:pPr>
      <w:r w:rsidRPr="0028149C">
        <w:rPr>
          <w:w w:val="105"/>
        </w:rPr>
        <w:t xml:space="preserve">Denna rapport beskriver hur riktlinjerna för ersättning till ledande befattningshavare för </w:t>
      </w:r>
      <w:r w:rsidR="00D8227F" w:rsidRPr="0028149C">
        <w:rPr>
          <w:w w:val="105"/>
        </w:rPr>
        <w:t>Micro Systemation AB (publ)</w:t>
      </w:r>
      <w:r w:rsidRPr="0028149C">
        <w:rPr>
          <w:w w:val="105"/>
        </w:rPr>
        <w:t>,</w:t>
      </w:r>
      <w:r w:rsidRPr="0028149C">
        <w:rPr>
          <w:spacing w:val="1"/>
          <w:w w:val="105"/>
        </w:rPr>
        <w:t xml:space="preserve"> </w:t>
      </w:r>
      <w:r w:rsidRPr="0028149C">
        <w:rPr>
          <w:w w:val="105"/>
        </w:rPr>
        <w:t>antagna av årsstämman 202</w:t>
      </w:r>
      <w:r w:rsidR="00EF0FF6">
        <w:rPr>
          <w:w w:val="105"/>
        </w:rPr>
        <w:t>2</w:t>
      </w:r>
      <w:r w:rsidRPr="0028149C">
        <w:rPr>
          <w:w w:val="105"/>
        </w:rPr>
        <w:t>, tillämpades under år 202</w:t>
      </w:r>
      <w:r w:rsidR="00EF0FF6">
        <w:rPr>
          <w:w w:val="105"/>
        </w:rPr>
        <w:t>2</w:t>
      </w:r>
      <w:r w:rsidRPr="0028149C">
        <w:rPr>
          <w:w w:val="105"/>
        </w:rPr>
        <w:t xml:space="preserve">. Rapporten innehåller även </w:t>
      </w:r>
      <w:r w:rsidR="00EF0FF6" w:rsidRPr="0028149C">
        <w:rPr>
          <w:w w:val="105"/>
        </w:rPr>
        <w:t>information</w:t>
      </w:r>
      <w:r w:rsidR="00EF0FF6">
        <w:rPr>
          <w:w w:val="105"/>
        </w:rPr>
        <w:t xml:space="preserve"> om</w:t>
      </w:r>
      <w:r w:rsidRPr="0028149C">
        <w:rPr>
          <w:w w:val="105"/>
        </w:rPr>
        <w:t xml:space="preserve"> ersättning till verkställande direktören samt en sammanfattning av bolagets utestående</w:t>
      </w:r>
      <w:r w:rsidRPr="0028149C">
        <w:rPr>
          <w:spacing w:val="1"/>
          <w:w w:val="105"/>
        </w:rPr>
        <w:t xml:space="preserve"> </w:t>
      </w:r>
      <w:r w:rsidRPr="0028149C">
        <w:rPr>
          <w:w w:val="105"/>
        </w:rPr>
        <w:t>långsiktiga</w:t>
      </w:r>
      <w:r w:rsidRPr="0028149C">
        <w:rPr>
          <w:spacing w:val="1"/>
          <w:w w:val="105"/>
        </w:rPr>
        <w:t xml:space="preserve"> </w:t>
      </w:r>
      <w:r w:rsidRPr="0028149C">
        <w:rPr>
          <w:w w:val="105"/>
        </w:rPr>
        <w:t>aktierelaterade</w:t>
      </w:r>
      <w:r w:rsidRPr="0028149C">
        <w:rPr>
          <w:spacing w:val="1"/>
          <w:w w:val="105"/>
        </w:rPr>
        <w:t xml:space="preserve"> </w:t>
      </w:r>
      <w:r w:rsidRPr="0028149C">
        <w:rPr>
          <w:w w:val="105"/>
        </w:rPr>
        <w:t>incitamentsprogram.</w:t>
      </w:r>
      <w:r w:rsidRPr="0028149C">
        <w:rPr>
          <w:spacing w:val="1"/>
          <w:w w:val="105"/>
        </w:rPr>
        <w:t xml:space="preserve"> </w:t>
      </w:r>
      <w:r w:rsidRPr="0028149C">
        <w:rPr>
          <w:w w:val="105"/>
        </w:rPr>
        <w:t>Rapporten</w:t>
      </w:r>
      <w:r w:rsidRPr="0028149C">
        <w:rPr>
          <w:spacing w:val="1"/>
          <w:w w:val="105"/>
        </w:rPr>
        <w:t xml:space="preserve"> </w:t>
      </w:r>
      <w:r w:rsidRPr="0028149C">
        <w:rPr>
          <w:w w:val="105"/>
        </w:rPr>
        <w:t>har</w:t>
      </w:r>
      <w:r w:rsidRPr="0028149C">
        <w:rPr>
          <w:spacing w:val="1"/>
          <w:w w:val="105"/>
        </w:rPr>
        <w:t xml:space="preserve"> </w:t>
      </w:r>
      <w:r w:rsidRPr="0028149C">
        <w:rPr>
          <w:w w:val="105"/>
        </w:rPr>
        <w:t>upprättats</w:t>
      </w:r>
      <w:r w:rsidRPr="0028149C">
        <w:rPr>
          <w:spacing w:val="1"/>
          <w:w w:val="105"/>
        </w:rPr>
        <w:t xml:space="preserve"> </w:t>
      </w:r>
      <w:r w:rsidRPr="0028149C">
        <w:rPr>
          <w:w w:val="105"/>
        </w:rPr>
        <w:t>i</w:t>
      </w:r>
      <w:r w:rsidRPr="0028149C">
        <w:rPr>
          <w:spacing w:val="1"/>
          <w:w w:val="105"/>
        </w:rPr>
        <w:t xml:space="preserve"> </w:t>
      </w:r>
      <w:r w:rsidRPr="0028149C">
        <w:rPr>
          <w:w w:val="105"/>
        </w:rPr>
        <w:t>enlighet</w:t>
      </w:r>
      <w:r w:rsidRPr="0028149C">
        <w:rPr>
          <w:spacing w:val="1"/>
          <w:w w:val="105"/>
        </w:rPr>
        <w:t xml:space="preserve"> </w:t>
      </w:r>
      <w:r w:rsidRPr="0028149C">
        <w:rPr>
          <w:w w:val="105"/>
        </w:rPr>
        <w:t>med</w:t>
      </w:r>
      <w:r w:rsidRPr="0028149C">
        <w:rPr>
          <w:spacing w:val="1"/>
          <w:w w:val="105"/>
        </w:rPr>
        <w:t xml:space="preserve"> </w:t>
      </w:r>
      <w:r w:rsidRPr="0028149C">
        <w:rPr>
          <w:w w:val="105"/>
        </w:rPr>
        <w:t>aktiebolagslagen och Kollegiets för svensk bolagsstyrning regler om ersättningar till ledande</w:t>
      </w:r>
      <w:r w:rsidRPr="0028149C">
        <w:rPr>
          <w:spacing w:val="1"/>
          <w:w w:val="105"/>
        </w:rPr>
        <w:t xml:space="preserve"> </w:t>
      </w:r>
      <w:r w:rsidRPr="0028149C">
        <w:rPr>
          <w:w w:val="105"/>
        </w:rPr>
        <w:t>befattningshavare</w:t>
      </w:r>
      <w:r w:rsidRPr="0028149C">
        <w:rPr>
          <w:spacing w:val="-11"/>
          <w:w w:val="105"/>
        </w:rPr>
        <w:t xml:space="preserve"> </w:t>
      </w:r>
      <w:r w:rsidRPr="0028149C">
        <w:rPr>
          <w:w w:val="105"/>
        </w:rPr>
        <w:t>och</w:t>
      </w:r>
      <w:r w:rsidRPr="0028149C">
        <w:rPr>
          <w:spacing w:val="-10"/>
          <w:w w:val="105"/>
        </w:rPr>
        <w:t xml:space="preserve"> </w:t>
      </w:r>
      <w:r w:rsidRPr="0028149C">
        <w:rPr>
          <w:w w:val="105"/>
        </w:rPr>
        <w:t>om</w:t>
      </w:r>
      <w:r w:rsidRPr="0028149C">
        <w:rPr>
          <w:spacing w:val="-10"/>
          <w:w w:val="105"/>
        </w:rPr>
        <w:t xml:space="preserve"> </w:t>
      </w:r>
      <w:r w:rsidRPr="0028149C">
        <w:rPr>
          <w:w w:val="105"/>
        </w:rPr>
        <w:t>incitamentsprogram.</w:t>
      </w:r>
    </w:p>
    <w:p w14:paraId="4A6E5365" w14:textId="2ADB744E" w:rsidR="00EB0341" w:rsidRPr="0028149C" w:rsidRDefault="00211C81">
      <w:pPr>
        <w:pStyle w:val="BodyText"/>
        <w:spacing w:before="165" w:line="259" w:lineRule="auto"/>
        <w:ind w:left="140" w:right="459"/>
        <w:jc w:val="both"/>
      </w:pPr>
      <w:r w:rsidRPr="0028149C">
        <w:rPr>
          <w:w w:val="105"/>
        </w:rPr>
        <w:t xml:space="preserve">Ytterligare information om ersättningar till ledande befattningshavare finns i not </w:t>
      </w:r>
      <w:r w:rsidR="00D8227F" w:rsidRPr="0028149C">
        <w:rPr>
          <w:w w:val="105"/>
        </w:rPr>
        <w:t>8</w:t>
      </w:r>
      <w:r w:rsidRPr="0028149C">
        <w:rPr>
          <w:w w:val="105"/>
        </w:rPr>
        <w:t>,</w:t>
      </w:r>
      <w:r w:rsidR="00D8227F" w:rsidRPr="0028149C">
        <w:rPr>
          <w:w w:val="105"/>
        </w:rPr>
        <w:t xml:space="preserve"> ”Löner, andra ersättningar och sociala kostnader</w:t>
      </w:r>
      <w:r w:rsidR="00FD2777">
        <w:rPr>
          <w:w w:val="105"/>
        </w:rPr>
        <w:t xml:space="preserve"> finns </w:t>
      </w:r>
      <w:r w:rsidRPr="007A6812">
        <w:rPr>
          <w:w w:val="110"/>
        </w:rPr>
        <w:t>i</w:t>
      </w:r>
      <w:r w:rsidRPr="007A6812">
        <w:rPr>
          <w:spacing w:val="1"/>
          <w:w w:val="110"/>
        </w:rPr>
        <w:t xml:space="preserve"> </w:t>
      </w:r>
      <w:r w:rsidRPr="007A6812">
        <w:rPr>
          <w:w w:val="110"/>
        </w:rPr>
        <w:t>årsredovisningen</w:t>
      </w:r>
      <w:r w:rsidR="007A6812">
        <w:rPr>
          <w:w w:val="110"/>
        </w:rPr>
        <w:t xml:space="preserve"> </w:t>
      </w:r>
      <w:r w:rsidRPr="0028149C">
        <w:rPr>
          <w:w w:val="110"/>
        </w:rPr>
        <w:t>för</w:t>
      </w:r>
      <w:r w:rsidRPr="0028149C">
        <w:rPr>
          <w:spacing w:val="1"/>
          <w:w w:val="110"/>
        </w:rPr>
        <w:t xml:space="preserve"> </w:t>
      </w:r>
      <w:r w:rsidRPr="0028149C">
        <w:rPr>
          <w:w w:val="110"/>
        </w:rPr>
        <w:t>202</w:t>
      </w:r>
      <w:r w:rsidR="00EF0FF6">
        <w:rPr>
          <w:w w:val="110"/>
        </w:rPr>
        <w:t>2</w:t>
      </w:r>
      <w:r w:rsidRPr="0028149C">
        <w:rPr>
          <w:w w:val="110"/>
        </w:rPr>
        <w:t>.</w:t>
      </w:r>
      <w:r w:rsidRPr="0028149C">
        <w:rPr>
          <w:spacing w:val="1"/>
          <w:w w:val="110"/>
        </w:rPr>
        <w:t xml:space="preserve"> </w:t>
      </w:r>
      <w:r w:rsidRPr="0028149C">
        <w:rPr>
          <w:w w:val="110"/>
        </w:rPr>
        <w:t>Information</w:t>
      </w:r>
      <w:r w:rsidRPr="0028149C">
        <w:rPr>
          <w:spacing w:val="1"/>
          <w:w w:val="110"/>
        </w:rPr>
        <w:t xml:space="preserve"> </w:t>
      </w:r>
      <w:r w:rsidR="00D8227F" w:rsidRPr="0028149C">
        <w:rPr>
          <w:w w:val="110"/>
        </w:rPr>
        <w:t>om riktlinjerna för ersättning till ledande befattningshavare avseende 202</w:t>
      </w:r>
      <w:r w:rsidR="00EF0FF6">
        <w:rPr>
          <w:w w:val="110"/>
        </w:rPr>
        <w:t>2</w:t>
      </w:r>
      <w:r w:rsidR="00D8227F" w:rsidRPr="0028149C">
        <w:rPr>
          <w:w w:val="110"/>
        </w:rPr>
        <w:t xml:space="preserve"> </w:t>
      </w:r>
      <w:r w:rsidRPr="0028149C">
        <w:rPr>
          <w:w w:val="110"/>
        </w:rPr>
        <w:t>finns</w:t>
      </w:r>
      <w:r w:rsidRPr="0028149C">
        <w:rPr>
          <w:spacing w:val="-14"/>
          <w:w w:val="110"/>
        </w:rPr>
        <w:t xml:space="preserve"> </w:t>
      </w:r>
      <w:r w:rsidRPr="0028149C">
        <w:rPr>
          <w:w w:val="110"/>
        </w:rPr>
        <w:t>i</w:t>
      </w:r>
      <w:r w:rsidRPr="0028149C">
        <w:rPr>
          <w:spacing w:val="-15"/>
          <w:w w:val="110"/>
        </w:rPr>
        <w:t xml:space="preserve"> </w:t>
      </w:r>
      <w:r w:rsidR="00C52952">
        <w:rPr>
          <w:spacing w:val="-15"/>
          <w:w w:val="110"/>
        </w:rPr>
        <w:t>B</w:t>
      </w:r>
      <w:r w:rsidRPr="0028149C">
        <w:rPr>
          <w:w w:val="110"/>
        </w:rPr>
        <w:t>olagsstyrningsrapporten</w:t>
      </w:r>
      <w:r w:rsidR="00AB53B4">
        <w:rPr>
          <w:spacing w:val="-14"/>
          <w:w w:val="110"/>
        </w:rPr>
        <w:t xml:space="preserve"> </w:t>
      </w:r>
      <w:r w:rsidRPr="0028149C">
        <w:rPr>
          <w:w w:val="110"/>
        </w:rPr>
        <w:t>i</w:t>
      </w:r>
      <w:r w:rsidR="00D8227F" w:rsidRPr="0028149C">
        <w:rPr>
          <w:w w:val="110"/>
        </w:rPr>
        <w:t xml:space="preserve"> </w:t>
      </w:r>
      <w:r w:rsidRPr="0028149C">
        <w:rPr>
          <w:w w:val="110"/>
        </w:rPr>
        <w:t>årsredovisning</w:t>
      </w:r>
      <w:r w:rsidR="00C52952">
        <w:rPr>
          <w:w w:val="110"/>
        </w:rPr>
        <w:t>en</w:t>
      </w:r>
      <w:r w:rsidR="00FD2777">
        <w:rPr>
          <w:w w:val="110"/>
        </w:rPr>
        <w:t xml:space="preserve"> för 202</w:t>
      </w:r>
      <w:r w:rsidR="00EF0FF6">
        <w:rPr>
          <w:w w:val="110"/>
        </w:rPr>
        <w:t>2</w:t>
      </w:r>
      <w:r w:rsidR="001431ED">
        <w:rPr>
          <w:w w:val="110"/>
        </w:rPr>
        <w:t>.</w:t>
      </w:r>
    </w:p>
    <w:p w14:paraId="05822FD3" w14:textId="40099BE5" w:rsidR="00EB0341" w:rsidRPr="0028149C" w:rsidRDefault="00211C81">
      <w:pPr>
        <w:pStyle w:val="BodyText"/>
        <w:spacing w:before="162" w:line="256" w:lineRule="auto"/>
        <w:ind w:left="140" w:right="457"/>
        <w:jc w:val="both"/>
      </w:pPr>
      <w:r w:rsidRPr="0028149C">
        <w:rPr>
          <w:w w:val="105"/>
        </w:rPr>
        <w:t>Styrelsearvode omfattas inte av denna rapport. Sådant arvode beslutas årligen av årsstämman,</w:t>
      </w:r>
      <w:r w:rsidRPr="0028149C">
        <w:rPr>
          <w:spacing w:val="1"/>
          <w:w w:val="105"/>
        </w:rPr>
        <w:t xml:space="preserve"> </w:t>
      </w:r>
      <w:r w:rsidR="00824EA7" w:rsidRPr="0028149C">
        <w:rPr>
          <w:w w:val="110"/>
        </w:rPr>
        <w:t xml:space="preserve">och </w:t>
      </w:r>
      <w:r w:rsidRPr="0028149C">
        <w:rPr>
          <w:w w:val="110"/>
        </w:rPr>
        <w:t>redovisas i årsredovisningen</w:t>
      </w:r>
      <w:r w:rsidR="00EA3937">
        <w:rPr>
          <w:w w:val="110"/>
        </w:rPr>
        <w:t xml:space="preserve"> för 202</w:t>
      </w:r>
      <w:r w:rsidR="00EF0FF6">
        <w:rPr>
          <w:w w:val="110"/>
        </w:rPr>
        <w:t>2</w:t>
      </w:r>
      <w:r w:rsidRPr="0028149C">
        <w:rPr>
          <w:w w:val="110"/>
        </w:rPr>
        <w:t>.</w:t>
      </w:r>
    </w:p>
    <w:p w14:paraId="6E7154DE" w14:textId="77777777" w:rsidR="00EB0341" w:rsidRPr="0028149C" w:rsidRDefault="00EB0341">
      <w:pPr>
        <w:pStyle w:val="BodyText"/>
        <w:rPr>
          <w:sz w:val="24"/>
        </w:rPr>
      </w:pPr>
    </w:p>
    <w:p w14:paraId="0CD1B0BA" w14:textId="77777777" w:rsidR="00EB0341" w:rsidRPr="0028149C" w:rsidRDefault="00EB0341">
      <w:pPr>
        <w:pStyle w:val="BodyText"/>
        <w:spacing w:before="5"/>
        <w:rPr>
          <w:sz w:val="24"/>
        </w:rPr>
      </w:pPr>
    </w:p>
    <w:p w14:paraId="63758E95" w14:textId="4BAE6593" w:rsidR="00EB0341" w:rsidRPr="0028149C" w:rsidRDefault="00211C81">
      <w:pPr>
        <w:pStyle w:val="Heading1"/>
        <w:rPr>
          <w:u w:val="none"/>
        </w:rPr>
      </w:pPr>
      <w:r w:rsidRPr="0028149C">
        <w:rPr>
          <w:w w:val="105"/>
        </w:rPr>
        <w:t>Utveckling</w:t>
      </w:r>
      <w:r w:rsidRPr="0028149C">
        <w:rPr>
          <w:spacing w:val="3"/>
          <w:w w:val="105"/>
        </w:rPr>
        <w:t xml:space="preserve"> </w:t>
      </w:r>
      <w:r w:rsidRPr="0028149C">
        <w:rPr>
          <w:w w:val="105"/>
        </w:rPr>
        <w:t>under</w:t>
      </w:r>
      <w:r w:rsidRPr="0028149C">
        <w:rPr>
          <w:spacing w:val="5"/>
          <w:w w:val="105"/>
        </w:rPr>
        <w:t xml:space="preserve"> </w:t>
      </w:r>
      <w:r w:rsidRPr="0028149C">
        <w:rPr>
          <w:w w:val="105"/>
        </w:rPr>
        <w:t>202</w:t>
      </w:r>
      <w:r w:rsidR="00EF0FF6">
        <w:rPr>
          <w:w w:val="105"/>
        </w:rPr>
        <w:t>2</w:t>
      </w:r>
    </w:p>
    <w:p w14:paraId="2FEBE11E" w14:textId="7C7B99E1" w:rsidR="00EB0341" w:rsidRPr="0028149C" w:rsidRDefault="00211C81">
      <w:pPr>
        <w:pStyle w:val="BodyText"/>
        <w:spacing w:before="187"/>
        <w:ind w:left="140" w:right="466"/>
        <w:jc w:val="both"/>
      </w:pPr>
      <w:r w:rsidRPr="0028149C">
        <w:rPr>
          <w:w w:val="105"/>
        </w:rPr>
        <w:t xml:space="preserve">Verkställande direktören sammanfattar bolagets övergripande resultat i </w:t>
      </w:r>
      <w:r w:rsidR="00250B1B">
        <w:rPr>
          <w:w w:val="105"/>
        </w:rPr>
        <w:t>VD orde</w:t>
      </w:r>
      <w:r w:rsidR="009D0384">
        <w:rPr>
          <w:w w:val="105"/>
        </w:rPr>
        <w:t xml:space="preserve">t </w:t>
      </w:r>
      <w:r w:rsidRPr="0028149C">
        <w:rPr>
          <w:w w:val="110"/>
        </w:rPr>
        <w:t>i</w:t>
      </w:r>
      <w:r w:rsidRPr="0028149C">
        <w:rPr>
          <w:spacing w:val="-13"/>
          <w:w w:val="110"/>
        </w:rPr>
        <w:t xml:space="preserve"> </w:t>
      </w:r>
      <w:r w:rsidRPr="0028149C">
        <w:rPr>
          <w:w w:val="110"/>
        </w:rPr>
        <w:t>årsredovisningen</w:t>
      </w:r>
      <w:r w:rsidRPr="0028149C">
        <w:rPr>
          <w:spacing w:val="-14"/>
          <w:w w:val="110"/>
        </w:rPr>
        <w:t xml:space="preserve"> </w:t>
      </w:r>
      <w:r w:rsidRPr="0028149C">
        <w:rPr>
          <w:w w:val="110"/>
        </w:rPr>
        <w:t>för</w:t>
      </w:r>
      <w:r w:rsidRPr="0028149C">
        <w:rPr>
          <w:spacing w:val="-10"/>
          <w:w w:val="110"/>
        </w:rPr>
        <w:t xml:space="preserve"> </w:t>
      </w:r>
      <w:r w:rsidRPr="0028149C">
        <w:rPr>
          <w:w w:val="110"/>
        </w:rPr>
        <w:t>202</w:t>
      </w:r>
      <w:r w:rsidR="00EF0FF6">
        <w:rPr>
          <w:w w:val="110"/>
        </w:rPr>
        <w:t>2</w:t>
      </w:r>
      <w:r w:rsidRPr="0028149C">
        <w:rPr>
          <w:w w:val="110"/>
        </w:rPr>
        <w:t>.</w:t>
      </w:r>
    </w:p>
    <w:p w14:paraId="07280076" w14:textId="77777777" w:rsidR="00EB0341" w:rsidRPr="0028149C" w:rsidRDefault="00EB0341">
      <w:pPr>
        <w:pStyle w:val="BodyText"/>
        <w:rPr>
          <w:sz w:val="24"/>
        </w:rPr>
      </w:pPr>
    </w:p>
    <w:p w14:paraId="24A66A10" w14:textId="77777777" w:rsidR="00EB0341" w:rsidRPr="0028149C" w:rsidRDefault="00EB0341">
      <w:pPr>
        <w:pStyle w:val="BodyText"/>
        <w:spacing w:before="4"/>
        <w:rPr>
          <w:sz w:val="22"/>
        </w:rPr>
      </w:pPr>
    </w:p>
    <w:p w14:paraId="1F3FAE53" w14:textId="77777777" w:rsidR="00EB0341" w:rsidRPr="0028149C" w:rsidRDefault="00211C81">
      <w:pPr>
        <w:pStyle w:val="Heading1"/>
        <w:spacing w:before="1"/>
        <w:rPr>
          <w:u w:val="none"/>
        </w:rPr>
      </w:pPr>
      <w:r w:rsidRPr="0028149C">
        <w:rPr>
          <w:spacing w:val="-2"/>
          <w:w w:val="105"/>
        </w:rPr>
        <w:t>Bolagets</w:t>
      </w:r>
      <w:r w:rsidRPr="0028149C">
        <w:rPr>
          <w:spacing w:val="-17"/>
          <w:w w:val="105"/>
        </w:rPr>
        <w:t xml:space="preserve"> </w:t>
      </w:r>
      <w:r w:rsidRPr="0028149C">
        <w:rPr>
          <w:spacing w:val="-1"/>
          <w:w w:val="105"/>
        </w:rPr>
        <w:t>ersättningsriktlinjer:</w:t>
      </w:r>
      <w:r w:rsidRPr="0028149C">
        <w:rPr>
          <w:spacing w:val="-16"/>
          <w:w w:val="105"/>
        </w:rPr>
        <w:t xml:space="preserve"> </w:t>
      </w:r>
      <w:r w:rsidRPr="0028149C">
        <w:rPr>
          <w:spacing w:val="-1"/>
          <w:w w:val="105"/>
        </w:rPr>
        <w:t>tillämpningsområde,</w:t>
      </w:r>
      <w:r w:rsidRPr="0028149C">
        <w:rPr>
          <w:spacing w:val="-13"/>
          <w:w w:val="105"/>
        </w:rPr>
        <w:t xml:space="preserve"> </w:t>
      </w:r>
      <w:r w:rsidRPr="0028149C">
        <w:rPr>
          <w:spacing w:val="-1"/>
          <w:w w:val="105"/>
        </w:rPr>
        <w:t>ändamål</w:t>
      </w:r>
      <w:r w:rsidRPr="0028149C">
        <w:rPr>
          <w:spacing w:val="-19"/>
          <w:w w:val="105"/>
        </w:rPr>
        <w:t xml:space="preserve"> </w:t>
      </w:r>
      <w:r w:rsidRPr="0028149C">
        <w:rPr>
          <w:spacing w:val="-1"/>
          <w:w w:val="105"/>
        </w:rPr>
        <w:t>och</w:t>
      </w:r>
      <w:r w:rsidRPr="0028149C">
        <w:rPr>
          <w:spacing w:val="-17"/>
          <w:w w:val="105"/>
        </w:rPr>
        <w:t xml:space="preserve"> </w:t>
      </w:r>
      <w:r w:rsidRPr="0028149C">
        <w:rPr>
          <w:spacing w:val="-1"/>
          <w:w w:val="105"/>
        </w:rPr>
        <w:t>avvikelser</w:t>
      </w:r>
    </w:p>
    <w:p w14:paraId="690F56B4" w14:textId="7BABEC54" w:rsidR="00EB0341" w:rsidRPr="0028149C" w:rsidRDefault="00211C81" w:rsidP="000006F1">
      <w:pPr>
        <w:pStyle w:val="BodyText"/>
        <w:spacing w:before="187"/>
        <w:ind w:left="140" w:right="464"/>
        <w:jc w:val="both"/>
        <w:rPr>
          <w:w w:val="105"/>
        </w:rPr>
      </w:pPr>
      <w:r w:rsidRPr="0028149C">
        <w:rPr>
          <w:w w:val="105"/>
        </w:rPr>
        <w:t xml:space="preserve">Bolagets affärsstrategi </w:t>
      </w:r>
      <w:r w:rsidR="000006F1" w:rsidRPr="0028149C">
        <w:rPr>
          <w:w w:val="105"/>
        </w:rPr>
        <w:t xml:space="preserve">är </w:t>
      </w:r>
      <w:r w:rsidR="00983BA5">
        <w:rPr>
          <w:w w:val="105"/>
        </w:rPr>
        <w:t xml:space="preserve">att leverera </w:t>
      </w:r>
      <w:r w:rsidR="004B1B54">
        <w:rPr>
          <w:w w:val="105"/>
        </w:rPr>
        <w:t xml:space="preserve">produkter och </w:t>
      </w:r>
      <w:r w:rsidR="000006F1" w:rsidRPr="0028149C">
        <w:rPr>
          <w:w w:val="105"/>
        </w:rPr>
        <w:t>lösningar för att utvinna digital information som skapar säkra och pålitliga resultat för olika rättsvårdande myndigheter. MSAB:s produkter och lösningar används av polis, militär, underrättelsetjänst och andra myndigheter i mer än 100 länder över hela världen, med syftet att förebygga och klara upp brott, samla in underrättelser, undersöka bedrägerier och bekämpa korruption. Detta innebär att bolaget med sina lösningar eftersträvar att skapa ett mer rättssäkert samhälle där fler brott uppklaras och förhindras, vilket i sin tur innebär att bolagets hela existens är ett stort bidrag till ett hållbart samhälle. Då bolaget i allt väsentligt utvecklar en mjukvara är påverkan på miljön begränsad men där styrelsen vinnlägger sig om att bolaget följer de miljökrav på de olika marknader som bolaget verkar på.</w:t>
      </w:r>
    </w:p>
    <w:p w14:paraId="0C7E2C35" w14:textId="130B3846" w:rsidR="00EB0341" w:rsidRPr="0028149C" w:rsidRDefault="00211C81">
      <w:pPr>
        <w:pStyle w:val="BodyText"/>
        <w:spacing w:before="166"/>
        <w:ind w:left="140" w:right="461"/>
        <w:jc w:val="both"/>
      </w:pPr>
      <w:r w:rsidRPr="0028149C">
        <w:rPr>
          <w:w w:val="110"/>
        </w:rPr>
        <w:t>En</w:t>
      </w:r>
      <w:r w:rsidRPr="0028149C">
        <w:rPr>
          <w:spacing w:val="1"/>
          <w:w w:val="110"/>
        </w:rPr>
        <w:t xml:space="preserve"> </w:t>
      </w:r>
      <w:r w:rsidRPr="0028149C">
        <w:rPr>
          <w:w w:val="110"/>
        </w:rPr>
        <w:t>förutsättning</w:t>
      </w:r>
      <w:r w:rsidRPr="0028149C">
        <w:rPr>
          <w:spacing w:val="1"/>
          <w:w w:val="110"/>
        </w:rPr>
        <w:t xml:space="preserve"> </w:t>
      </w:r>
      <w:r w:rsidRPr="0028149C">
        <w:rPr>
          <w:w w:val="110"/>
        </w:rPr>
        <w:t>för</w:t>
      </w:r>
      <w:r w:rsidRPr="0028149C">
        <w:rPr>
          <w:spacing w:val="1"/>
          <w:w w:val="110"/>
        </w:rPr>
        <w:t xml:space="preserve"> </w:t>
      </w:r>
      <w:r w:rsidRPr="0028149C">
        <w:rPr>
          <w:w w:val="110"/>
        </w:rPr>
        <w:t>en</w:t>
      </w:r>
      <w:r w:rsidRPr="0028149C">
        <w:rPr>
          <w:spacing w:val="1"/>
          <w:w w:val="110"/>
        </w:rPr>
        <w:t xml:space="preserve"> </w:t>
      </w:r>
      <w:r w:rsidRPr="0028149C">
        <w:rPr>
          <w:w w:val="110"/>
        </w:rPr>
        <w:t>framgångsrik</w:t>
      </w:r>
      <w:r w:rsidRPr="0028149C">
        <w:rPr>
          <w:spacing w:val="1"/>
          <w:w w:val="110"/>
        </w:rPr>
        <w:t xml:space="preserve"> </w:t>
      </w:r>
      <w:r w:rsidRPr="0028149C">
        <w:rPr>
          <w:w w:val="110"/>
        </w:rPr>
        <w:t>implementering</w:t>
      </w:r>
      <w:r w:rsidRPr="0028149C">
        <w:rPr>
          <w:spacing w:val="1"/>
          <w:w w:val="110"/>
        </w:rPr>
        <w:t xml:space="preserve"> </w:t>
      </w:r>
      <w:r w:rsidRPr="0028149C">
        <w:rPr>
          <w:w w:val="110"/>
        </w:rPr>
        <w:t>av</w:t>
      </w:r>
      <w:r w:rsidRPr="0028149C">
        <w:rPr>
          <w:spacing w:val="1"/>
          <w:w w:val="110"/>
        </w:rPr>
        <w:t xml:space="preserve"> </w:t>
      </w:r>
      <w:r w:rsidRPr="0028149C">
        <w:rPr>
          <w:w w:val="110"/>
        </w:rPr>
        <w:t>bolagets</w:t>
      </w:r>
      <w:r w:rsidRPr="0028149C">
        <w:rPr>
          <w:spacing w:val="1"/>
          <w:w w:val="110"/>
        </w:rPr>
        <w:t xml:space="preserve"> </w:t>
      </w:r>
      <w:r w:rsidRPr="0028149C">
        <w:rPr>
          <w:w w:val="110"/>
        </w:rPr>
        <w:t>affärsstrategi</w:t>
      </w:r>
      <w:r w:rsidRPr="0028149C">
        <w:rPr>
          <w:spacing w:val="1"/>
          <w:w w:val="110"/>
        </w:rPr>
        <w:t xml:space="preserve"> </w:t>
      </w:r>
      <w:r w:rsidRPr="0028149C">
        <w:rPr>
          <w:w w:val="110"/>
        </w:rPr>
        <w:t>och</w:t>
      </w:r>
      <w:r w:rsidRPr="0028149C">
        <w:rPr>
          <w:spacing w:val="1"/>
          <w:w w:val="110"/>
        </w:rPr>
        <w:t xml:space="preserve"> </w:t>
      </w:r>
      <w:r w:rsidRPr="0028149C">
        <w:rPr>
          <w:w w:val="110"/>
        </w:rPr>
        <w:t>tillvaratagandet av dess långsiktiga intressen, inklusive dess hållbarhet, är att bolaget kan</w:t>
      </w:r>
      <w:r w:rsidRPr="0028149C">
        <w:rPr>
          <w:spacing w:val="1"/>
          <w:w w:val="110"/>
        </w:rPr>
        <w:t xml:space="preserve"> </w:t>
      </w:r>
      <w:r w:rsidRPr="0028149C">
        <w:rPr>
          <w:w w:val="110"/>
        </w:rPr>
        <w:t>rekrytera och behålla kvalificerade medarbetare. För detta krävs att bolaget kan erbjuda</w:t>
      </w:r>
      <w:r w:rsidRPr="0028149C">
        <w:rPr>
          <w:spacing w:val="1"/>
          <w:w w:val="110"/>
        </w:rPr>
        <w:t xml:space="preserve"> </w:t>
      </w:r>
      <w:r w:rsidRPr="0028149C">
        <w:rPr>
          <w:w w:val="110"/>
        </w:rPr>
        <w:t>konkurrenskraftig</w:t>
      </w:r>
      <w:r w:rsidRPr="0028149C">
        <w:rPr>
          <w:spacing w:val="1"/>
          <w:w w:val="110"/>
        </w:rPr>
        <w:t xml:space="preserve"> </w:t>
      </w:r>
      <w:r w:rsidRPr="0028149C">
        <w:rPr>
          <w:w w:val="110"/>
        </w:rPr>
        <w:t>ersättning.</w:t>
      </w:r>
      <w:r w:rsidR="00894398">
        <w:rPr>
          <w:w w:val="110"/>
        </w:rPr>
        <w:t xml:space="preserve"> </w:t>
      </w:r>
      <w:r w:rsidRPr="0028149C">
        <w:rPr>
          <w:w w:val="110"/>
        </w:rPr>
        <w:t>Bolagets</w:t>
      </w:r>
      <w:r w:rsidRPr="0028149C">
        <w:rPr>
          <w:spacing w:val="1"/>
          <w:w w:val="110"/>
        </w:rPr>
        <w:t xml:space="preserve"> </w:t>
      </w:r>
      <w:r w:rsidRPr="0028149C">
        <w:rPr>
          <w:w w:val="110"/>
        </w:rPr>
        <w:t>ersättningsriktlinjer</w:t>
      </w:r>
      <w:r w:rsidRPr="0028149C">
        <w:rPr>
          <w:spacing w:val="1"/>
          <w:w w:val="110"/>
        </w:rPr>
        <w:t xml:space="preserve"> </w:t>
      </w:r>
      <w:r w:rsidRPr="0028149C">
        <w:rPr>
          <w:w w:val="110"/>
        </w:rPr>
        <w:t>möjliggör</w:t>
      </w:r>
      <w:r w:rsidRPr="0028149C">
        <w:rPr>
          <w:spacing w:val="1"/>
          <w:w w:val="110"/>
        </w:rPr>
        <w:t xml:space="preserve"> </w:t>
      </w:r>
      <w:r w:rsidRPr="0028149C">
        <w:rPr>
          <w:w w:val="110"/>
        </w:rPr>
        <w:t>att</w:t>
      </w:r>
      <w:r w:rsidRPr="0028149C">
        <w:rPr>
          <w:spacing w:val="1"/>
          <w:w w:val="110"/>
        </w:rPr>
        <w:t xml:space="preserve"> </w:t>
      </w:r>
      <w:r w:rsidRPr="0028149C">
        <w:rPr>
          <w:w w:val="110"/>
        </w:rPr>
        <w:t>ledande</w:t>
      </w:r>
      <w:r w:rsidRPr="0028149C">
        <w:rPr>
          <w:spacing w:val="-66"/>
          <w:w w:val="110"/>
        </w:rPr>
        <w:t xml:space="preserve"> </w:t>
      </w:r>
      <w:r w:rsidRPr="0028149C">
        <w:rPr>
          <w:w w:val="105"/>
        </w:rPr>
        <w:t>befattningshavare</w:t>
      </w:r>
      <w:r w:rsidRPr="0028149C">
        <w:rPr>
          <w:spacing w:val="-7"/>
          <w:w w:val="105"/>
        </w:rPr>
        <w:t xml:space="preserve"> </w:t>
      </w:r>
      <w:r w:rsidRPr="0028149C">
        <w:rPr>
          <w:w w:val="105"/>
        </w:rPr>
        <w:t>kan</w:t>
      </w:r>
      <w:r w:rsidRPr="0028149C">
        <w:rPr>
          <w:spacing w:val="-7"/>
          <w:w w:val="105"/>
        </w:rPr>
        <w:t xml:space="preserve"> </w:t>
      </w:r>
      <w:r w:rsidRPr="0028149C">
        <w:rPr>
          <w:w w:val="105"/>
        </w:rPr>
        <w:t>erbjudas</w:t>
      </w:r>
      <w:r w:rsidRPr="0028149C">
        <w:rPr>
          <w:spacing w:val="-9"/>
          <w:w w:val="105"/>
        </w:rPr>
        <w:t xml:space="preserve"> </w:t>
      </w:r>
      <w:r w:rsidRPr="0028149C">
        <w:rPr>
          <w:w w:val="105"/>
        </w:rPr>
        <w:t>en</w:t>
      </w:r>
      <w:r w:rsidRPr="0028149C">
        <w:rPr>
          <w:spacing w:val="-5"/>
          <w:w w:val="105"/>
        </w:rPr>
        <w:t xml:space="preserve"> </w:t>
      </w:r>
      <w:r w:rsidRPr="0028149C">
        <w:rPr>
          <w:w w:val="105"/>
        </w:rPr>
        <w:t>konkurrenskraftig</w:t>
      </w:r>
      <w:r w:rsidRPr="0028149C">
        <w:rPr>
          <w:spacing w:val="-7"/>
          <w:w w:val="105"/>
        </w:rPr>
        <w:t xml:space="preserve"> </w:t>
      </w:r>
      <w:r w:rsidRPr="0028149C">
        <w:rPr>
          <w:w w:val="105"/>
        </w:rPr>
        <w:t>totalersättning.</w:t>
      </w:r>
    </w:p>
    <w:p w14:paraId="5F72A78C" w14:textId="173C6C76" w:rsidR="00EB0341" w:rsidRPr="0028149C" w:rsidRDefault="00211C81">
      <w:pPr>
        <w:pStyle w:val="BodyText"/>
        <w:spacing w:before="164"/>
        <w:ind w:left="140" w:right="466"/>
        <w:jc w:val="both"/>
      </w:pPr>
      <w:r w:rsidRPr="0028149C">
        <w:rPr>
          <w:w w:val="105"/>
        </w:rPr>
        <w:t>Enligt</w:t>
      </w:r>
      <w:r w:rsidRPr="0028149C">
        <w:rPr>
          <w:spacing w:val="1"/>
          <w:w w:val="105"/>
        </w:rPr>
        <w:t xml:space="preserve"> </w:t>
      </w:r>
      <w:r w:rsidRPr="0028149C">
        <w:rPr>
          <w:w w:val="105"/>
        </w:rPr>
        <w:t>ersättningsriktlinjerna</w:t>
      </w:r>
      <w:r w:rsidRPr="0028149C">
        <w:rPr>
          <w:spacing w:val="1"/>
          <w:w w:val="105"/>
        </w:rPr>
        <w:t xml:space="preserve"> </w:t>
      </w:r>
      <w:r w:rsidRPr="0028149C">
        <w:rPr>
          <w:w w:val="105"/>
        </w:rPr>
        <w:t>ska</w:t>
      </w:r>
      <w:r w:rsidRPr="0028149C">
        <w:rPr>
          <w:spacing w:val="1"/>
          <w:w w:val="105"/>
        </w:rPr>
        <w:t xml:space="preserve"> </w:t>
      </w:r>
      <w:r w:rsidRPr="0028149C">
        <w:rPr>
          <w:w w:val="105"/>
        </w:rPr>
        <w:t>ersättningen</w:t>
      </w:r>
      <w:r w:rsidRPr="0028149C">
        <w:rPr>
          <w:spacing w:val="1"/>
          <w:w w:val="105"/>
        </w:rPr>
        <w:t xml:space="preserve"> </w:t>
      </w:r>
      <w:r w:rsidRPr="0028149C">
        <w:rPr>
          <w:w w:val="105"/>
        </w:rPr>
        <w:t>till</w:t>
      </w:r>
      <w:r w:rsidRPr="0028149C">
        <w:rPr>
          <w:spacing w:val="1"/>
          <w:w w:val="105"/>
        </w:rPr>
        <w:t xml:space="preserve"> </w:t>
      </w:r>
      <w:r w:rsidRPr="0028149C">
        <w:rPr>
          <w:w w:val="105"/>
        </w:rPr>
        <w:t>ledande</w:t>
      </w:r>
      <w:r w:rsidRPr="0028149C">
        <w:rPr>
          <w:spacing w:val="1"/>
          <w:w w:val="105"/>
        </w:rPr>
        <w:t xml:space="preserve"> </w:t>
      </w:r>
      <w:r w:rsidRPr="0028149C">
        <w:rPr>
          <w:w w:val="105"/>
        </w:rPr>
        <w:t>befattningshavare</w:t>
      </w:r>
      <w:r w:rsidRPr="0028149C">
        <w:rPr>
          <w:spacing w:val="1"/>
          <w:w w:val="105"/>
        </w:rPr>
        <w:t xml:space="preserve"> </w:t>
      </w:r>
      <w:r w:rsidRPr="0028149C">
        <w:rPr>
          <w:w w:val="105"/>
        </w:rPr>
        <w:t>vara</w:t>
      </w:r>
      <w:r w:rsidRPr="0028149C">
        <w:rPr>
          <w:spacing w:val="1"/>
          <w:w w:val="105"/>
        </w:rPr>
        <w:t xml:space="preserve"> </w:t>
      </w:r>
      <w:r w:rsidRPr="0028149C">
        <w:rPr>
          <w:w w:val="105"/>
        </w:rPr>
        <w:t>marknadsmässig</w:t>
      </w:r>
      <w:r w:rsidRPr="0028149C">
        <w:rPr>
          <w:spacing w:val="1"/>
          <w:w w:val="105"/>
        </w:rPr>
        <w:t xml:space="preserve"> </w:t>
      </w:r>
      <w:r w:rsidRPr="0028149C">
        <w:rPr>
          <w:w w:val="105"/>
        </w:rPr>
        <w:t>och</w:t>
      </w:r>
      <w:r w:rsidRPr="0028149C">
        <w:rPr>
          <w:spacing w:val="1"/>
          <w:w w:val="105"/>
        </w:rPr>
        <w:t xml:space="preserve"> </w:t>
      </w:r>
      <w:r w:rsidRPr="0028149C">
        <w:rPr>
          <w:w w:val="105"/>
        </w:rPr>
        <w:t>får</w:t>
      </w:r>
      <w:r w:rsidRPr="0028149C">
        <w:rPr>
          <w:spacing w:val="1"/>
          <w:w w:val="105"/>
        </w:rPr>
        <w:t xml:space="preserve"> </w:t>
      </w:r>
      <w:r w:rsidRPr="0028149C">
        <w:rPr>
          <w:w w:val="105"/>
        </w:rPr>
        <w:t>bestå</w:t>
      </w:r>
      <w:r w:rsidRPr="0028149C">
        <w:rPr>
          <w:spacing w:val="1"/>
          <w:w w:val="105"/>
        </w:rPr>
        <w:t xml:space="preserve"> </w:t>
      </w:r>
      <w:r w:rsidRPr="0028149C">
        <w:rPr>
          <w:w w:val="105"/>
        </w:rPr>
        <w:t>av</w:t>
      </w:r>
      <w:r w:rsidRPr="0028149C">
        <w:rPr>
          <w:spacing w:val="1"/>
          <w:w w:val="105"/>
        </w:rPr>
        <w:t xml:space="preserve"> </w:t>
      </w:r>
      <w:r w:rsidRPr="0028149C">
        <w:rPr>
          <w:w w:val="105"/>
        </w:rPr>
        <w:t>följande</w:t>
      </w:r>
      <w:r w:rsidRPr="0028149C">
        <w:rPr>
          <w:spacing w:val="1"/>
          <w:w w:val="105"/>
        </w:rPr>
        <w:t xml:space="preserve"> </w:t>
      </w:r>
      <w:r w:rsidRPr="0028149C">
        <w:rPr>
          <w:w w:val="105"/>
        </w:rPr>
        <w:t>komponenter:</w:t>
      </w:r>
      <w:r w:rsidRPr="0028149C">
        <w:rPr>
          <w:spacing w:val="1"/>
          <w:w w:val="105"/>
        </w:rPr>
        <w:t xml:space="preserve"> </w:t>
      </w:r>
      <w:r w:rsidRPr="0028149C">
        <w:rPr>
          <w:w w:val="105"/>
        </w:rPr>
        <w:t>fast</w:t>
      </w:r>
      <w:r w:rsidRPr="0028149C">
        <w:rPr>
          <w:spacing w:val="1"/>
          <w:w w:val="105"/>
        </w:rPr>
        <w:t xml:space="preserve"> </w:t>
      </w:r>
      <w:r w:rsidRPr="0028149C">
        <w:rPr>
          <w:w w:val="105"/>
        </w:rPr>
        <w:t>kontantlön,</w:t>
      </w:r>
      <w:r w:rsidRPr="0028149C">
        <w:rPr>
          <w:spacing w:val="1"/>
          <w:w w:val="105"/>
        </w:rPr>
        <w:t xml:space="preserve"> </w:t>
      </w:r>
      <w:r w:rsidRPr="0028149C">
        <w:rPr>
          <w:w w:val="105"/>
        </w:rPr>
        <w:t>rörlig</w:t>
      </w:r>
      <w:r w:rsidRPr="0028149C">
        <w:rPr>
          <w:spacing w:val="1"/>
          <w:w w:val="105"/>
        </w:rPr>
        <w:t xml:space="preserve"> </w:t>
      </w:r>
      <w:r w:rsidR="004C0092" w:rsidRPr="0028149C">
        <w:rPr>
          <w:w w:val="105"/>
        </w:rPr>
        <w:t xml:space="preserve">lön i form av incitament </w:t>
      </w:r>
      <w:r w:rsidR="008062B0" w:rsidRPr="0028149C">
        <w:rPr>
          <w:w w:val="105"/>
        </w:rPr>
        <w:t>baserat</w:t>
      </w:r>
      <w:r w:rsidR="004C0092" w:rsidRPr="0028149C">
        <w:rPr>
          <w:w w:val="105"/>
        </w:rPr>
        <w:t xml:space="preserve"> på prestationsmål</w:t>
      </w:r>
      <w:r w:rsidRPr="0028149C">
        <w:rPr>
          <w:w w:val="105"/>
        </w:rPr>
        <w:t>,</w:t>
      </w:r>
      <w:r w:rsidRPr="0028149C">
        <w:rPr>
          <w:spacing w:val="-10"/>
          <w:w w:val="105"/>
        </w:rPr>
        <w:t xml:space="preserve"> </w:t>
      </w:r>
      <w:r w:rsidRPr="0028149C">
        <w:rPr>
          <w:w w:val="105"/>
        </w:rPr>
        <w:t>pensionsförmåner</w:t>
      </w:r>
      <w:r w:rsidRPr="0028149C">
        <w:rPr>
          <w:spacing w:val="-9"/>
          <w:w w:val="105"/>
        </w:rPr>
        <w:t xml:space="preserve"> </w:t>
      </w:r>
      <w:r w:rsidRPr="0028149C">
        <w:rPr>
          <w:w w:val="105"/>
        </w:rPr>
        <w:t>och</w:t>
      </w:r>
      <w:r w:rsidRPr="0028149C">
        <w:rPr>
          <w:spacing w:val="-9"/>
          <w:w w:val="105"/>
        </w:rPr>
        <w:t xml:space="preserve"> </w:t>
      </w:r>
      <w:r w:rsidRPr="0028149C">
        <w:rPr>
          <w:w w:val="105"/>
        </w:rPr>
        <w:t>andra</w:t>
      </w:r>
      <w:r w:rsidRPr="0028149C">
        <w:rPr>
          <w:spacing w:val="-9"/>
          <w:w w:val="105"/>
        </w:rPr>
        <w:t xml:space="preserve"> </w:t>
      </w:r>
      <w:r w:rsidRPr="0028149C">
        <w:rPr>
          <w:w w:val="105"/>
        </w:rPr>
        <w:t>förmåner.</w:t>
      </w:r>
    </w:p>
    <w:p w14:paraId="2D0B72C0" w14:textId="10597B7F" w:rsidR="00EB0341" w:rsidRPr="0028149C" w:rsidRDefault="00211C81" w:rsidP="004C0092">
      <w:pPr>
        <w:pStyle w:val="BodyText"/>
        <w:spacing w:before="162"/>
        <w:ind w:left="140" w:right="455"/>
        <w:jc w:val="both"/>
        <w:sectPr w:rsidR="00EB0341" w:rsidRPr="0028149C">
          <w:type w:val="continuous"/>
          <w:pgSz w:w="11910" w:h="16840"/>
          <w:pgMar w:top="1340" w:right="980" w:bottom="280" w:left="1300" w:header="720" w:footer="720" w:gutter="0"/>
          <w:cols w:space="720"/>
        </w:sectPr>
      </w:pPr>
      <w:r w:rsidRPr="0028149C">
        <w:rPr>
          <w:w w:val="110"/>
        </w:rPr>
        <w:t>Den rörliga kontantersättningen som omfattas av riktlinjerna syftar till att främja bolagets</w:t>
      </w:r>
      <w:r w:rsidR="00EF0FF6">
        <w:rPr>
          <w:w w:val="110"/>
        </w:rPr>
        <w:t xml:space="preserve"> lönsamhet,</w:t>
      </w:r>
      <w:r w:rsidRPr="0028149C">
        <w:rPr>
          <w:spacing w:val="1"/>
          <w:w w:val="110"/>
        </w:rPr>
        <w:t xml:space="preserve"> </w:t>
      </w:r>
      <w:r w:rsidRPr="0028149C">
        <w:rPr>
          <w:w w:val="110"/>
        </w:rPr>
        <w:t>affärsstrategi</w:t>
      </w:r>
      <w:r w:rsidRPr="0028149C">
        <w:rPr>
          <w:spacing w:val="1"/>
          <w:w w:val="110"/>
        </w:rPr>
        <w:t xml:space="preserve"> </w:t>
      </w:r>
      <w:r w:rsidRPr="0028149C">
        <w:rPr>
          <w:w w:val="110"/>
        </w:rPr>
        <w:t>och</w:t>
      </w:r>
      <w:r w:rsidRPr="0028149C">
        <w:rPr>
          <w:spacing w:val="1"/>
          <w:w w:val="110"/>
        </w:rPr>
        <w:t xml:space="preserve"> </w:t>
      </w:r>
      <w:r w:rsidRPr="0028149C">
        <w:rPr>
          <w:w w:val="110"/>
        </w:rPr>
        <w:t>långsiktiga</w:t>
      </w:r>
      <w:r w:rsidRPr="0028149C">
        <w:rPr>
          <w:spacing w:val="1"/>
          <w:w w:val="110"/>
        </w:rPr>
        <w:t xml:space="preserve"> </w:t>
      </w:r>
      <w:r w:rsidRPr="0028149C">
        <w:rPr>
          <w:w w:val="110"/>
        </w:rPr>
        <w:t>intressen.</w:t>
      </w:r>
      <w:r w:rsidRPr="0028149C">
        <w:rPr>
          <w:spacing w:val="1"/>
          <w:w w:val="110"/>
        </w:rPr>
        <w:t xml:space="preserve"> </w:t>
      </w:r>
      <w:r w:rsidRPr="0028149C">
        <w:rPr>
          <w:w w:val="110"/>
        </w:rPr>
        <w:t>Den</w:t>
      </w:r>
      <w:r w:rsidRPr="0028149C">
        <w:rPr>
          <w:spacing w:val="1"/>
          <w:w w:val="110"/>
        </w:rPr>
        <w:t xml:space="preserve"> </w:t>
      </w:r>
      <w:r w:rsidRPr="0028149C">
        <w:rPr>
          <w:w w:val="110"/>
        </w:rPr>
        <w:t>rörliga</w:t>
      </w:r>
      <w:r w:rsidRPr="0028149C">
        <w:rPr>
          <w:spacing w:val="1"/>
          <w:w w:val="110"/>
        </w:rPr>
        <w:t xml:space="preserve"> </w:t>
      </w:r>
      <w:r w:rsidRPr="0028149C">
        <w:rPr>
          <w:w w:val="110"/>
        </w:rPr>
        <w:t>kontantersättningen ska vara kopplad till förutbestämda och mätbara kriterier som kan vara</w:t>
      </w:r>
      <w:r w:rsidRPr="0028149C">
        <w:rPr>
          <w:spacing w:val="1"/>
          <w:w w:val="110"/>
        </w:rPr>
        <w:t xml:space="preserve"> </w:t>
      </w:r>
      <w:r w:rsidRPr="0028149C">
        <w:rPr>
          <w:w w:val="110"/>
        </w:rPr>
        <w:t>finansiella eller icke-finansiella. De kan också utgöras av individanpassade kvantitativa eller</w:t>
      </w:r>
      <w:r w:rsidRPr="0028149C">
        <w:rPr>
          <w:spacing w:val="1"/>
          <w:w w:val="110"/>
        </w:rPr>
        <w:t xml:space="preserve"> </w:t>
      </w:r>
      <w:r w:rsidRPr="0028149C">
        <w:rPr>
          <w:w w:val="105"/>
        </w:rPr>
        <w:t>kvalitativa mål. Kriterierna ska huvudsakligen vara baserade på resultat</w:t>
      </w:r>
      <w:r w:rsidR="004C0092" w:rsidRPr="0028149C">
        <w:rPr>
          <w:w w:val="105"/>
        </w:rPr>
        <w:t xml:space="preserve"> </w:t>
      </w:r>
      <w:r w:rsidR="008668E2">
        <w:rPr>
          <w:w w:val="105"/>
        </w:rPr>
        <w:t xml:space="preserve">före finansnetto </w:t>
      </w:r>
      <w:r w:rsidR="004C0092" w:rsidRPr="0028149C">
        <w:rPr>
          <w:w w:val="105"/>
        </w:rPr>
        <w:t>(EBIT)</w:t>
      </w:r>
      <w:r w:rsidRPr="0028149C">
        <w:rPr>
          <w:w w:val="105"/>
        </w:rPr>
        <w:t xml:space="preserve"> och individuella mål</w:t>
      </w:r>
      <w:r w:rsidRPr="0028149C">
        <w:rPr>
          <w:w w:val="110"/>
        </w:rPr>
        <w:t xml:space="preserve"> Uppfyllelse av</w:t>
      </w:r>
      <w:r w:rsidRPr="0028149C">
        <w:rPr>
          <w:spacing w:val="1"/>
          <w:w w:val="110"/>
        </w:rPr>
        <w:t xml:space="preserve"> </w:t>
      </w:r>
      <w:r w:rsidRPr="0028149C">
        <w:rPr>
          <w:spacing w:val="-1"/>
          <w:w w:val="110"/>
        </w:rPr>
        <w:t>kriterier</w:t>
      </w:r>
      <w:r w:rsidRPr="0028149C">
        <w:rPr>
          <w:spacing w:val="-15"/>
          <w:w w:val="110"/>
        </w:rPr>
        <w:t xml:space="preserve"> </w:t>
      </w:r>
      <w:r w:rsidRPr="0028149C">
        <w:rPr>
          <w:spacing w:val="-1"/>
          <w:w w:val="110"/>
        </w:rPr>
        <w:t>för</w:t>
      </w:r>
      <w:r w:rsidRPr="0028149C">
        <w:rPr>
          <w:spacing w:val="-16"/>
          <w:w w:val="110"/>
        </w:rPr>
        <w:t xml:space="preserve"> </w:t>
      </w:r>
      <w:r w:rsidRPr="0028149C">
        <w:rPr>
          <w:spacing w:val="-1"/>
          <w:w w:val="110"/>
        </w:rPr>
        <w:t>utbetalning</w:t>
      </w:r>
      <w:r w:rsidRPr="0028149C">
        <w:rPr>
          <w:spacing w:val="-16"/>
          <w:w w:val="110"/>
        </w:rPr>
        <w:t xml:space="preserve"> </w:t>
      </w:r>
      <w:r w:rsidRPr="0028149C">
        <w:rPr>
          <w:spacing w:val="-1"/>
          <w:w w:val="110"/>
        </w:rPr>
        <w:t>av</w:t>
      </w:r>
      <w:r w:rsidRPr="0028149C">
        <w:rPr>
          <w:spacing w:val="-16"/>
          <w:w w:val="110"/>
        </w:rPr>
        <w:t xml:space="preserve"> </w:t>
      </w:r>
      <w:r w:rsidRPr="0028149C">
        <w:rPr>
          <w:spacing w:val="-1"/>
          <w:w w:val="110"/>
        </w:rPr>
        <w:t>rörlig</w:t>
      </w:r>
      <w:r w:rsidRPr="0028149C">
        <w:rPr>
          <w:spacing w:val="-16"/>
          <w:w w:val="110"/>
        </w:rPr>
        <w:t xml:space="preserve"> </w:t>
      </w:r>
      <w:r w:rsidRPr="0028149C">
        <w:rPr>
          <w:spacing w:val="-1"/>
          <w:w w:val="110"/>
        </w:rPr>
        <w:t>kontantersättning</w:t>
      </w:r>
      <w:r w:rsidRPr="0028149C">
        <w:rPr>
          <w:spacing w:val="-16"/>
          <w:w w:val="110"/>
        </w:rPr>
        <w:t xml:space="preserve"> </w:t>
      </w:r>
      <w:r w:rsidRPr="0028149C">
        <w:rPr>
          <w:w w:val="110"/>
        </w:rPr>
        <w:t>ska</w:t>
      </w:r>
      <w:r w:rsidRPr="0028149C">
        <w:rPr>
          <w:spacing w:val="-15"/>
          <w:w w:val="110"/>
        </w:rPr>
        <w:t xml:space="preserve"> </w:t>
      </w:r>
      <w:r w:rsidRPr="0028149C">
        <w:rPr>
          <w:w w:val="110"/>
        </w:rPr>
        <w:t>kunna</w:t>
      </w:r>
      <w:r w:rsidRPr="0028149C">
        <w:rPr>
          <w:spacing w:val="-13"/>
          <w:w w:val="110"/>
        </w:rPr>
        <w:t xml:space="preserve"> </w:t>
      </w:r>
      <w:r w:rsidRPr="0028149C">
        <w:rPr>
          <w:w w:val="110"/>
        </w:rPr>
        <w:t>mätas</w:t>
      </w:r>
      <w:r w:rsidRPr="0028149C">
        <w:rPr>
          <w:spacing w:val="-15"/>
          <w:w w:val="110"/>
        </w:rPr>
        <w:t xml:space="preserve"> </w:t>
      </w:r>
      <w:r w:rsidRPr="0028149C">
        <w:rPr>
          <w:w w:val="110"/>
        </w:rPr>
        <w:t>under</w:t>
      </w:r>
      <w:r w:rsidRPr="0028149C">
        <w:rPr>
          <w:spacing w:val="-13"/>
          <w:w w:val="110"/>
        </w:rPr>
        <w:t xml:space="preserve"> </w:t>
      </w:r>
      <w:r w:rsidRPr="0028149C">
        <w:rPr>
          <w:w w:val="110"/>
        </w:rPr>
        <w:t>en</w:t>
      </w:r>
      <w:r w:rsidRPr="0028149C">
        <w:rPr>
          <w:spacing w:val="-16"/>
          <w:w w:val="110"/>
        </w:rPr>
        <w:t xml:space="preserve"> </w:t>
      </w:r>
      <w:r w:rsidRPr="0028149C">
        <w:rPr>
          <w:w w:val="110"/>
        </w:rPr>
        <w:t>period</w:t>
      </w:r>
      <w:r w:rsidRPr="0028149C">
        <w:rPr>
          <w:spacing w:val="-15"/>
          <w:w w:val="110"/>
        </w:rPr>
        <w:t xml:space="preserve"> </w:t>
      </w:r>
      <w:r w:rsidRPr="0028149C">
        <w:rPr>
          <w:w w:val="110"/>
        </w:rPr>
        <w:t>om</w:t>
      </w:r>
      <w:r w:rsidRPr="0028149C">
        <w:rPr>
          <w:spacing w:val="-17"/>
          <w:w w:val="110"/>
        </w:rPr>
        <w:t xml:space="preserve"> </w:t>
      </w:r>
      <w:r w:rsidRPr="0028149C">
        <w:rPr>
          <w:w w:val="110"/>
        </w:rPr>
        <w:t>ett</w:t>
      </w:r>
      <w:r w:rsidRPr="0028149C">
        <w:rPr>
          <w:spacing w:val="-17"/>
          <w:w w:val="110"/>
        </w:rPr>
        <w:t xml:space="preserve"> </w:t>
      </w:r>
      <w:r w:rsidRPr="0028149C">
        <w:rPr>
          <w:w w:val="110"/>
        </w:rPr>
        <w:t>år.</w:t>
      </w:r>
      <w:r w:rsidR="004C0092" w:rsidRPr="0028149C">
        <w:rPr>
          <w:w w:val="110"/>
        </w:rPr>
        <w:t xml:space="preserve"> Styrelsen ansvarar för bedömningen såvitt den avser rörlig kontantersättning till verkställande direktören. </w:t>
      </w:r>
    </w:p>
    <w:p w14:paraId="2B3DF9B5" w14:textId="53E374F4" w:rsidR="00EB0341" w:rsidRPr="0028149C" w:rsidRDefault="00211C81">
      <w:pPr>
        <w:pStyle w:val="BodyText"/>
        <w:spacing w:before="76"/>
        <w:ind w:left="140" w:right="461"/>
        <w:jc w:val="both"/>
      </w:pPr>
      <w:r w:rsidRPr="0028149C">
        <w:rPr>
          <w:w w:val="105"/>
        </w:rPr>
        <w:lastRenderedPageBreak/>
        <w:t>Den rörliga kontantersättningen till verkställande direktören får uppgå till högst 1</w:t>
      </w:r>
      <w:r w:rsidR="00EF0FF6">
        <w:rPr>
          <w:w w:val="105"/>
        </w:rPr>
        <w:t>0</w:t>
      </w:r>
      <w:r w:rsidR="004C0092" w:rsidRPr="0028149C">
        <w:rPr>
          <w:w w:val="105"/>
        </w:rPr>
        <w:t>0</w:t>
      </w:r>
      <w:r w:rsidRPr="0028149C">
        <w:rPr>
          <w:w w:val="105"/>
        </w:rPr>
        <w:t xml:space="preserve"> procent av</w:t>
      </w:r>
      <w:r w:rsidRPr="0028149C">
        <w:rPr>
          <w:spacing w:val="1"/>
          <w:w w:val="105"/>
        </w:rPr>
        <w:t xml:space="preserve"> </w:t>
      </w:r>
      <w:r w:rsidRPr="0028149C">
        <w:rPr>
          <w:w w:val="105"/>
        </w:rPr>
        <w:t>den</w:t>
      </w:r>
      <w:r w:rsidRPr="0028149C">
        <w:rPr>
          <w:spacing w:val="-10"/>
          <w:w w:val="105"/>
        </w:rPr>
        <w:t xml:space="preserve"> </w:t>
      </w:r>
      <w:r w:rsidRPr="0028149C">
        <w:rPr>
          <w:w w:val="105"/>
        </w:rPr>
        <w:t>fasta</w:t>
      </w:r>
      <w:r w:rsidRPr="0028149C">
        <w:rPr>
          <w:spacing w:val="-8"/>
          <w:w w:val="105"/>
        </w:rPr>
        <w:t xml:space="preserve"> </w:t>
      </w:r>
      <w:r w:rsidRPr="0028149C">
        <w:rPr>
          <w:w w:val="105"/>
        </w:rPr>
        <w:t>årliga</w:t>
      </w:r>
      <w:r w:rsidRPr="0028149C">
        <w:rPr>
          <w:spacing w:val="-9"/>
          <w:w w:val="105"/>
        </w:rPr>
        <w:t xml:space="preserve"> </w:t>
      </w:r>
      <w:r w:rsidRPr="0028149C">
        <w:rPr>
          <w:w w:val="105"/>
        </w:rPr>
        <w:t>kontantlönen.</w:t>
      </w:r>
    </w:p>
    <w:p w14:paraId="03A152F3" w14:textId="4823CD63" w:rsidR="00EB0341" w:rsidRPr="0028149C" w:rsidRDefault="00211C81">
      <w:pPr>
        <w:pStyle w:val="BodyText"/>
        <w:spacing w:before="160"/>
        <w:ind w:left="140" w:right="471"/>
        <w:jc w:val="both"/>
      </w:pPr>
      <w:r w:rsidRPr="0028149C">
        <w:rPr>
          <w:w w:val="110"/>
        </w:rPr>
        <w:t>För</w:t>
      </w:r>
      <w:r w:rsidRPr="0028149C">
        <w:rPr>
          <w:spacing w:val="1"/>
          <w:w w:val="110"/>
        </w:rPr>
        <w:t xml:space="preserve"> </w:t>
      </w:r>
      <w:r w:rsidRPr="0028149C">
        <w:rPr>
          <w:w w:val="110"/>
        </w:rPr>
        <w:t>verkställande</w:t>
      </w:r>
      <w:r w:rsidRPr="0028149C">
        <w:rPr>
          <w:spacing w:val="1"/>
          <w:w w:val="110"/>
        </w:rPr>
        <w:t xml:space="preserve"> </w:t>
      </w:r>
      <w:r w:rsidRPr="0028149C">
        <w:rPr>
          <w:w w:val="110"/>
        </w:rPr>
        <w:t>direktören</w:t>
      </w:r>
      <w:r w:rsidRPr="0028149C">
        <w:rPr>
          <w:spacing w:val="1"/>
          <w:w w:val="110"/>
        </w:rPr>
        <w:t xml:space="preserve"> </w:t>
      </w:r>
      <w:r w:rsidRPr="0028149C">
        <w:rPr>
          <w:w w:val="110"/>
        </w:rPr>
        <w:t>ska</w:t>
      </w:r>
      <w:r w:rsidRPr="0028149C">
        <w:rPr>
          <w:spacing w:val="1"/>
          <w:w w:val="110"/>
        </w:rPr>
        <w:t xml:space="preserve"> </w:t>
      </w:r>
      <w:r w:rsidRPr="0028149C">
        <w:rPr>
          <w:w w:val="110"/>
        </w:rPr>
        <w:t>pensionsförmåner</w:t>
      </w:r>
      <w:r w:rsidR="004C0092" w:rsidRPr="0028149C">
        <w:rPr>
          <w:w w:val="110"/>
        </w:rPr>
        <w:t xml:space="preserve"> vara premiebestämda enligt ITP 1.</w:t>
      </w:r>
      <w:r w:rsidRPr="0028149C">
        <w:rPr>
          <w:spacing w:val="-7"/>
          <w:w w:val="105"/>
        </w:rPr>
        <w:t xml:space="preserve"> </w:t>
      </w:r>
      <w:r w:rsidRPr="0028149C">
        <w:rPr>
          <w:w w:val="105"/>
        </w:rPr>
        <w:t>Rörlig</w:t>
      </w:r>
      <w:r w:rsidRPr="0028149C">
        <w:rPr>
          <w:spacing w:val="-6"/>
          <w:w w:val="105"/>
        </w:rPr>
        <w:t xml:space="preserve"> </w:t>
      </w:r>
      <w:r w:rsidRPr="0028149C">
        <w:rPr>
          <w:w w:val="105"/>
        </w:rPr>
        <w:t>kontantersättning</w:t>
      </w:r>
      <w:r w:rsidRPr="0028149C">
        <w:rPr>
          <w:spacing w:val="-6"/>
          <w:w w:val="105"/>
        </w:rPr>
        <w:t xml:space="preserve"> </w:t>
      </w:r>
      <w:r w:rsidRPr="0028149C">
        <w:rPr>
          <w:w w:val="105"/>
        </w:rPr>
        <w:t>ska</w:t>
      </w:r>
      <w:r w:rsidRPr="0028149C">
        <w:rPr>
          <w:spacing w:val="-7"/>
          <w:w w:val="105"/>
        </w:rPr>
        <w:t xml:space="preserve"> </w:t>
      </w:r>
      <w:r w:rsidRPr="0028149C">
        <w:rPr>
          <w:w w:val="105"/>
        </w:rPr>
        <w:t>inte</w:t>
      </w:r>
      <w:r w:rsidRPr="0028149C">
        <w:rPr>
          <w:spacing w:val="-6"/>
          <w:w w:val="105"/>
        </w:rPr>
        <w:t xml:space="preserve"> </w:t>
      </w:r>
      <w:r w:rsidRPr="0028149C">
        <w:rPr>
          <w:w w:val="105"/>
        </w:rPr>
        <w:t>vara</w:t>
      </w:r>
      <w:r w:rsidRPr="0028149C">
        <w:rPr>
          <w:spacing w:val="-6"/>
          <w:w w:val="105"/>
        </w:rPr>
        <w:t xml:space="preserve"> </w:t>
      </w:r>
      <w:r w:rsidRPr="0028149C">
        <w:rPr>
          <w:w w:val="105"/>
        </w:rPr>
        <w:t>pensionsgrundande.</w:t>
      </w:r>
      <w:r w:rsidR="004C0092" w:rsidRPr="0028149C">
        <w:rPr>
          <w:w w:val="105"/>
        </w:rPr>
        <w:t xml:space="preserve"> Andra förmåner får innefatta bl.a</w:t>
      </w:r>
      <w:r w:rsidR="00655DF5">
        <w:rPr>
          <w:w w:val="105"/>
        </w:rPr>
        <w:t>.</w:t>
      </w:r>
      <w:r w:rsidR="004C0092" w:rsidRPr="0028149C">
        <w:rPr>
          <w:w w:val="105"/>
        </w:rPr>
        <w:t xml:space="preserve"> ersättning för tandvård och läkarvård (inklusive medicin), sjukvårdsförsäkring och bilförmån. Sådana förmåner får för vd utgå i sedvanligt begränsad omfattning.</w:t>
      </w:r>
    </w:p>
    <w:p w14:paraId="5EF7DE9C" w14:textId="2731400F" w:rsidR="00EB0341" w:rsidRPr="0028149C" w:rsidRDefault="00211C81">
      <w:pPr>
        <w:pStyle w:val="BodyText"/>
        <w:spacing w:before="161"/>
        <w:ind w:left="140" w:right="459"/>
        <w:jc w:val="both"/>
      </w:pPr>
      <w:r w:rsidRPr="0028149C">
        <w:rPr>
          <w:w w:val="105"/>
        </w:rPr>
        <w:t>Riktlinjerna finns på i årsredovisningen för 202</w:t>
      </w:r>
      <w:r w:rsidR="00EF0FF6">
        <w:rPr>
          <w:w w:val="105"/>
        </w:rPr>
        <w:t>2</w:t>
      </w:r>
      <w:r w:rsidRPr="0028149C">
        <w:rPr>
          <w:w w:val="105"/>
        </w:rPr>
        <w:t>. Bolaget har under 202</w:t>
      </w:r>
      <w:r w:rsidR="00EF0FF6">
        <w:rPr>
          <w:w w:val="105"/>
        </w:rPr>
        <w:t>2</w:t>
      </w:r>
      <w:r w:rsidRPr="0028149C">
        <w:rPr>
          <w:w w:val="105"/>
        </w:rPr>
        <w:t xml:space="preserve"> följt de</w:t>
      </w:r>
      <w:r w:rsidRPr="0028149C">
        <w:rPr>
          <w:spacing w:val="1"/>
          <w:w w:val="105"/>
        </w:rPr>
        <w:t xml:space="preserve"> </w:t>
      </w:r>
      <w:r w:rsidRPr="0028149C">
        <w:rPr>
          <w:w w:val="105"/>
        </w:rPr>
        <w:t>tillämpliga ersättningsriktlinjerna som antagits av bolagsstämman. Inga avsteg från riktlinjerna</w:t>
      </w:r>
      <w:r w:rsidRPr="0028149C">
        <w:rPr>
          <w:spacing w:val="1"/>
          <w:w w:val="105"/>
        </w:rPr>
        <w:t xml:space="preserve"> </w:t>
      </w:r>
      <w:r w:rsidRPr="0028149C">
        <w:rPr>
          <w:w w:val="105"/>
        </w:rPr>
        <w:t>har gjorts och inga avvikelser har gjorts från den beslutsprocess som enligt riktlinjerna ska</w:t>
      </w:r>
      <w:r w:rsidRPr="0028149C">
        <w:rPr>
          <w:spacing w:val="1"/>
          <w:w w:val="105"/>
        </w:rPr>
        <w:t xml:space="preserve"> </w:t>
      </w:r>
      <w:r w:rsidRPr="0028149C">
        <w:rPr>
          <w:w w:val="105"/>
        </w:rPr>
        <w:t>tillämpas</w:t>
      </w:r>
      <w:r w:rsidRPr="0028149C">
        <w:rPr>
          <w:spacing w:val="1"/>
          <w:w w:val="105"/>
        </w:rPr>
        <w:t xml:space="preserve"> </w:t>
      </w:r>
      <w:r w:rsidRPr="0028149C">
        <w:rPr>
          <w:w w:val="105"/>
        </w:rPr>
        <w:t>för</w:t>
      </w:r>
      <w:r w:rsidRPr="0028149C">
        <w:rPr>
          <w:spacing w:val="1"/>
          <w:w w:val="105"/>
        </w:rPr>
        <w:t xml:space="preserve"> </w:t>
      </w:r>
      <w:r w:rsidRPr="0028149C">
        <w:rPr>
          <w:w w:val="105"/>
        </w:rPr>
        <w:t>att</w:t>
      </w:r>
      <w:r w:rsidRPr="0028149C">
        <w:rPr>
          <w:spacing w:val="1"/>
          <w:w w:val="105"/>
        </w:rPr>
        <w:t xml:space="preserve"> </w:t>
      </w:r>
      <w:r w:rsidRPr="0028149C">
        <w:rPr>
          <w:w w:val="105"/>
        </w:rPr>
        <w:t>fastställa</w:t>
      </w:r>
      <w:r w:rsidRPr="0028149C">
        <w:rPr>
          <w:spacing w:val="1"/>
          <w:w w:val="105"/>
        </w:rPr>
        <w:t xml:space="preserve"> </w:t>
      </w:r>
      <w:r w:rsidRPr="0028149C">
        <w:rPr>
          <w:w w:val="105"/>
        </w:rPr>
        <w:t>ersättningen.</w:t>
      </w:r>
      <w:r w:rsidRPr="0028149C">
        <w:rPr>
          <w:spacing w:val="1"/>
          <w:w w:val="105"/>
        </w:rPr>
        <w:t xml:space="preserve"> </w:t>
      </w:r>
      <w:r w:rsidRPr="0028149C">
        <w:rPr>
          <w:w w:val="105"/>
        </w:rPr>
        <w:t>Revisorns</w:t>
      </w:r>
      <w:r w:rsidRPr="0028149C">
        <w:rPr>
          <w:spacing w:val="1"/>
          <w:w w:val="105"/>
        </w:rPr>
        <w:t xml:space="preserve"> </w:t>
      </w:r>
      <w:r w:rsidRPr="0028149C">
        <w:rPr>
          <w:w w:val="105"/>
        </w:rPr>
        <w:t>yttrande</w:t>
      </w:r>
      <w:r w:rsidRPr="0028149C">
        <w:rPr>
          <w:spacing w:val="1"/>
          <w:w w:val="105"/>
        </w:rPr>
        <w:t xml:space="preserve"> </w:t>
      </w:r>
      <w:r w:rsidRPr="0028149C">
        <w:rPr>
          <w:w w:val="105"/>
        </w:rPr>
        <w:t>över</w:t>
      </w:r>
      <w:r w:rsidRPr="0028149C">
        <w:rPr>
          <w:spacing w:val="1"/>
          <w:w w:val="105"/>
        </w:rPr>
        <w:t xml:space="preserve"> </w:t>
      </w:r>
      <w:r w:rsidRPr="0028149C">
        <w:rPr>
          <w:w w:val="105"/>
        </w:rPr>
        <w:t>bolagets</w:t>
      </w:r>
      <w:r w:rsidRPr="0028149C">
        <w:rPr>
          <w:spacing w:val="1"/>
          <w:w w:val="105"/>
        </w:rPr>
        <w:t xml:space="preserve"> </w:t>
      </w:r>
      <w:r w:rsidRPr="0028149C">
        <w:rPr>
          <w:w w:val="105"/>
        </w:rPr>
        <w:t>efterlevnad</w:t>
      </w:r>
      <w:r w:rsidRPr="0028149C">
        <w:rPr>
          <w:spacing w:val="1"/>
          <w:w w:val="105"/>
        </w:rPr>
        <w:t xml:space="preserve"> </w:t>
      </w:r>
      <w:r w:rsidRPr="0028149C">
        <w:rPr>
          <w:w w:val="105"/>
        </w:rPr>
        <w:t>av</w:t>
      </w:r>
      <w:r w:rsidRPr="0028149C">
        <w:rPr>
          <w:spacing w:val="1"/>
          <w:w w:val="105"/>
        </w:rPr>
        <w:t xml:space="preserve"> </w:t>
      </w:r>
      <w:r w:rsidRPr="0028149C">
        <w:rPr>
          <w:w w:val="105"/>
        </w:rPr>
        <w:t xml:space="preserve">riktlinjerna finns tillgänglig på </w:t>
      </w:r>
      <w:hyperlink r:id="rId8" w:history="1">
        <w:r w:rsidR="004C0092" w:rsidRPr="0028149C">
          <w:rPr>
            <w:rStyle w:val="Hyperlink"/>
            <w:w w:val="105"/>
          </w:rPr>
          <w:t xml:space="preserve">www.msab.com/investerare/bolagsstyrning/. </w:t>
        </w:r>
      </w:hyperlink>
      <w:r w:rsidRPr="0028149C">
        <w:rPr>
          <w:w w:val="105"/>
        </w:rPr>
        <w:t>Ingen ersättning har</w:t>
      </w:r>
      <w:r w:rsidRPr="0028149C">
        <w:rPr>
          <w:spacing w:val="1"/>
          <w:w w:val="105"/>
        </w:rPr>
        <w:t xml:space="preserve"> </w:t>
      </w:r>
      <w:r w:rsidRPr="0028149C">
        <w:rPr>
          <w:w w:val="105"/>
        </w:rPr>
        <w:t>krävts</w:t>
      </w:r>
      <w:r w:rsidRPr="0028149C">
        <w:rPr>
          <w:spacing w:val="-12"/>
          <w:w w:val="105"/>
        </w:rPr>
        <w:t xml:space="preserve"> </w:t>
      </w:r>
      <w:r w:rsidRPr="0028149C">
        <w:rPr>
          <w:w w:val="105"/>
        </w:rPr>
        <w:t>tillbaka.</w:t>
      </w:r>
    </w:p>
    <w:p w14:paraId="6623F890" w14:textId="277334A6" w:rsidR="00EB0341" w:rsidRPr="00BC2171" w:rsidRDefault="00211C81" w:rsidP="00BC2171">
      <w:pPr>
        <w:pStyle w:val="BodyText"/>
        <w:spacing w:before="164"/>
        <w:ind w:left="140" w:right="463"/>
        <w:jc w:val="both"/>
        <w:rPr>
          <w:w w:val="105"/>
        </w:rPr>
      </w:pPr>
      <w:r w:rsidRPr="0028149C">
        <w:rPr>
          <w:w w:val="105"/>
        </w:rPr>
        <w:t xml:space="preserve">Utöver den ersättning som </w:t>
      </w:r>
      <w:r w:rsidR="00BC2171">
        <w:rPr>
          <w:w w:val="105"/>
        </w:rPr>
        <w:t xml:space="preserve">omfattas av </w:t>
      </w:r>
      <w:r w:rsidRPr="0028149C">
        <w:rPr>
          <w:w w:val="105"/>
        </w:rPr>
        <w:t xml:space="preserve">ersättningsriktlinjerna </w:t>
      </w:r>
      <w:r w:rsidR="00EF0FF6">
        <w:rPr>
          <w:w w:val="105"/>
        </w:rPr>
        <w:t>kan</w:t>
      </w:r>
      <w:r w:rsidRPr="0028149C">
        <w:rPr>
          <w:w w:val="105"/>
        </w:rPr>
        <w:t xml:space="preserve"> bolagets årsstämmor beslutat</w:t>
      </w:r>
      <w:r w:rsidRPr="0028149C">
        <w:rPr>
          <w:spacing w:val="1"/>
          <w:w w:val="105"/>
        </w:rPr>
        <w:t xml:space="preserve"> </w:t>
      </w:r>
      <w:r w:rsidRPr="0028149C">
        <w:rPr>
          <w:w w:val="110"/>
        </w:rPr>
        <w:t>att införa långsiktiga aktierelaterade incitamentsprogram (beslutats av bolagsstämman och</w:t>
      </w:r>
      <w:r w:rsidRPr="0028149C">
        <w:rPr>
          <w:spacing w:val="1"/>
          <w:w w:val="110"/>
        </w:rPr>
        <w:t xml:space="preserve"> </w:t>
      </w:r>
      <w:r w:rsidRPr="0028149C">
        <w:rPr>
          <w:w w:val="105"/>
        </w:rPr>
        <w:t>omfattas</w:t>
      </w:r>
      <w:r w:rsidRPr="0028149C">
        <w:rPr>
          <w:spacing w:val="-12"/>
          <w:w w:val="105"/>
        </w:rPr>
        <w:t xml:space="preserve"> </w:t>
      </w:r>
      <w:r w:rsidRPr="0028149C">
        <w:rPr>
          <w:w w:val="105"/>
        </w:rPr>
        <w:t>därför</w:t>
      </w:r>
      <w:r w:rsidRPr="0028149C">
        <w:rPr>
          <w:spacing w:val="-9"/>
          <w:w w:val="105"/>
        </w:rPr>
        <w:t xml:space="preserve"> </w:t>
      </w:r>
      <w:r w:rsidRPr="0028149C">
        <w:rPr>
          <w:w w:val="105"/>
        </w:rPr>
        <w:t>inte</w:t>
      </w:r>
      <w:r w:rsidRPr="0028149C">
        <w:rPr>
          <w:spacing w:val="-10"/>
          <w:w w:val="105"/>
        </w:rPr>
        <w:t xml:space="preserve"> </w:t>
      </w:r>
      <w:r w:rsidRPr="0028149C">
        <w:rPr>
          <w:w w:val="105"/>
        </w:rPr>
        <w:t>av</w:t>
      </w:r>
      <w:r w:rsidRPr="0028149C">
        <w:rPr>
          <w:spacing w:val="-8"/>
          <w:w w:val="105"/>
        </w:rPr>
        <w:t xml:space="preserve"> </w:t>
      </w:r>
      <w:r w:rsidRPr="0028149C">
        <w:rPr>
          <w:w w:val="105"/>
        </w:rPr>
        <w:t>ersättningsriktlinjerna).</w:t>
      </w:r>
    </w:p>
    <w:p w14:paraId="0D0389C0" w14:textId="77777777" w:rsidR="00EB0341" w:rsidRPr="0028149C" w:rsidRDefault="00EB0341">
      <w:pPr>
        <w:pStyle w:val="BodyText"/>
        <w:rPr>
          <w:sz w:val="24"/>
        </w:rPr>
      </w:pPr>
    </w:p>
    <w:p w14:paraId="5BC851A1" w14:textId="77777777" w:rsidR="00EB0341" w:rsidRPr="0028149C" w:rsidRDefault="00EB0341">
      <w:pPr>
        <w:pStyle w:val="BodyText"/>
        <w:spacing w:before="10"/>
        <w:rPr>
          <w:sz w:val="26"/>
        </w:rPr>
      </w:pPr>
    </w:p>
    <w:p w14:paraId="2EF08740" w14:textId="09B79CCC" w:rsidR="00EB0341" w:rsidRPr="0028149C" w:rsidRDefault="00211C81">
      <w:pPr>
        <w:pStyle w:val="BodyText"/>
        <w:ind w:left="140"/>
        <w:jc w:val="both"/>
      </w:pPr>
      <w:r w:rsidRPr="0028149C">
        <w:rPr>
          <w:spacing w:val="-1"/>
          <w:w w:val="105"/>
        </w:rPr>
        <w:t>Tabell</w:t>
      </w:r>
      <w:r w:rsidRPr="0028149C">
        <w:rPr>
          <w:spacing w:val="-13"/>
          <w:w w:val="105"/>
        </w:rPr>
        <w:t xml:space="preserve"> </w:t>
      </w:r>
      <w:r w:rsidRPr="0028149C">
        <w:rPr>
          <w:spacing w:val="-1"/>
          <w:w w:val="105"/>
        </w:rPr>
        <w:t>1</w:t>
      </w:r>
      <w:r w:rsidRPr="0028149C">
        <w:rPr>
          <w:spacing w:val="-12"/>
          <w:w w:val="105"/>
        </w:rPr>
        <w:t xml:space="preserve"> </w:t>
      </w:r>
      <w:r w:rsidRPr="0028149C">
        <w:rPr>
          <w:spacing w:val="-1"/>
          <w:w w:val="105"/>
        </w:rPr>
        <w:t>–</w:t>
      </w:r>
      <w:r w:rsidRPr="0028149C">
        <w:rPr>
          <w:spacing w:val="-16"/>
          <w:w w:val="105"/>
        </w:rPr>
        <w:t xml:space="preserve"> </w:t>
      </w:r>
      <w:r w:rsidRPr="0028149C">
        <w:rPr>
          <w:spacing w:val="-1"/>
          <w:w w:val="105"/>
        </w:rPr>
        <w:t>Totalersättning</w:t>
      </w:r>
      <w:r w:rsidRPr="0028149C">
        <w:rPr>
          <w:spacing w:val="-14"/>
          <w:w w:val="105"/>
        </w:rPr>
        <w:t xml:space="preserve"> </w:t>
      </w:r>
      <w:r w:rsidRPr="0028149C">
        <w:rPr>
          <w:spacing w:val="-1"/>
          <w:w w:val="105"/>
        </w:rPr>
        <w:t>till</w:t>
      </w:r>
      <w:r w:rsidRPr="0028149C">
        <w:rPr>
          <w:spacing w:val="-12"/>
          <w:w w:val="105"/>
        </w:rPr>
        <w:t xml:space="preserve"> </w:t>
      </w:r>
      <w:r w:rsidRPr="0028149C">
        <w:rPr>
          <w:spacing w:val="-1"/>
          <w:w w:val="105"/>
        </w:rPr>
        <w:t>verkställande</w:t>
      </w:r>
      <w:r w:rsidRPr="0028149C">
        <w:rPr>
          <w:spacing w:val="-13"/>
          <w:w w:val="105"/>
        </w:rPr>
        <w:t xml:space="preserve"> </w:t>
      </w:r>
      <w:r w:rsidRPr="0028149C">
        <w:rPr>
          <w:spacing w:val="-1"/>
          <w:w w:val="105"/>
        </w:rPr>
        <w:t>direktören</w:t>
      </w:r>
      <w:r w:rsidRPr="0028149C">
        <w:rPr>
          <w:spacing w:val="-14"/>
          <w:w w:val="105"/>
        </w:rPr>
        <w:t xml:space="preserve"> </w:t>
      </w:r>
      <w:r w:rsidRPr="0028149C">
        <w:rPr>
          <w:spacing w:val="-1"/>
          <w:w w:val="105"/>
        </w:rPr>
        <w:t>under</w:t>
      </w:r>
      <w:r w:rsidRPr="0028149C">
        <w:rPr>
          <w:spacing w:val="-14"/>
          <w:w w:val="105"/>
        </w:rPr>
        <w:t xml:space="preserve"> </w:t>
      </w:r>
      <w:r w:rsidRPr="0028149C">
        <w:rPr>
          <w:spacing w:val="-1"/>
          <w:w w:val="105"/>
        </w:rPr>
        <w:t>202</w:t>
      </w:r>
      <w:r w:rsidR="00BC2171">
        <w:rPr>
          <w:spacing w:val="-1"/>
          <w:w w:val="105"/>
        </w:rPr>
        <w:t>2</w:t>
      </w:r>
      <w:r w:rsidRPr="0028149C">
        <w:rPr>
          <w:spacing w:val="-15"/>
          <w:w w:val="105"/>
        </w:rPr>
        <w:t xml:space="preserve"> </w:t>
      </w:r>
      <w:r w:rsidRPr="0028149C">
        <w:rPr>
          <w:spacing w:val="-1"/>
          <w:w w:val="105"/>
        </w:rPr>
        <w:t>(TSEK)*</w:t>
      </w:r>
    </w:p>
    <w:p w14:paraId="5C815C18" w14:textId="77777777" w:rsidR="00EB0341" w:rsidRPr="0028149C" w:rsidRDefault="00EB0341">
      <w:pPr>
        <w:pStyle w:val="BodyText"/>
        <w:spacing w:before="3"/>
        <w:rPr>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60"/>
        <w:gridCol w:w="840"/>
        <w:gridCol w:w="844"/>
        <w:gridCol w:w="839"/>
        <w:gridCol w:w="868"/>
        <w:gridCol w:w="1084"/>
        <w:gridCol w:w="698"/>
        <w:gridCol w:w="840"/>
        <w:gridCol w:w="983"/>
      </w:tblGrid>
      <w:tr w:rsidR="00EB0341" w:rsidRPr="0028149C" w14:paraId="6F12A559" w14:textId="77777777" w:rsidTr="00211C81">
        <w:trPr>
          <w:trHeight w:val="580"/>
        </w:trPr>
        <w:tc>
          <w:tcPr>
            <w:tcW w:w="1010" w:type="dxa"/>
            <w:vMerge w:val="restart"/>
            <w:shd w:val="clear" w:color="auto" w:fill="0057A6"/>
          </w:tcPr>
          <w:p w14:paraId="69B6E73F" w14:textId="77777777" w:rsidR="00EB0341" w:rsidRPr="00211C81" w:rsidRDefault="00EB0341">
            <w:pPr>
              <w:pStyle w:val="TableParagraph"/>
              <w:spacing w:before="0"/>
              <w:jc w:val="left"/>
              <w:rPr>
                <w:color w:val="FFFFFF" w:themeColor="background1"/>
                <w:sz w:val="16"/>
              </w:rPr>
            </w:pPr>
            <w:bookmarkStart w:id="0" w:name="_Hlk71026776"/>
          </w:p>
          <w:p w14:paraId="28D2569F" w14:textId="77777777" w:rsidR="00EB0341" w:rsidRPr="00211C81" w:rsidRDefault="00EB0341">
            <w:pPr>
              <w:pStyle w:val="TableParagraph"/>
              <w:spacing w:before="0"/>
              <w:jc w:val="left"/>
              <w:rPr>
                <w:color w:val="FFFFFF" w:themeColor="background1"/>
                <w:sz w:val="16"/>
              </w:rPr>
            </w:pPr>
          </w:p>
          <w:p w14:paraId="2851D978" w14:textId="77777777" w:rsidR="00EB0341" w:rsidRPr="00211C81" w:rsidRDefault="00EB0341">
            <w:pPr>
              <w:pStyle w:val="TableParagraph"/>
              <w:spacing w:before="0"/>
              <w:jc w:val="left"/>
              <w:rPr>
                <w:color w:val="FFFFFF" w:themeColor="background1"/>
                <w:sz w:val="16"/>
              </w:rPr>
            </w:pPr>
          </w:p>
          <w:p w14:paraId="6710A3E9" w14:textId="77777777" w:rsidR="00EB0341" w:rsidRPr="00211C81" w:rsidRDefault="00211C81">
            <w:pPr>
              <w:pStyle w:val="TableParagraph"/>
              <w:spacing w:before="125"/>
              <w:ind w:left="93" w:right="87" w:firstLine="218"/>
              <w:jc w:val="left"/>
              <w:rPr>
                <w:color w:val="FFFFFF" w:themeColor="background1"/>
                <w:sz w:val="14"/>
              </w:rPr>
            </w:pPr>
            <w:r w:rsidRPr="00211C81">
              <w:rPr>
                <w:color w:val="FFFFFF" w:themeColor="background1"/>
                <w:w w:val="110"/>
                <w:sz w:val="14"/>
              </w:rPr>
              <w:t>Namn</w:t>
            </w:r>
            <w:r w:rsidRPr="00211C81">
              <w:rPr>
                <w:color w:val="FFFFFF" w:themeColor="background1"/>
                <w:spacing w:val="1"/>
                <w:w w:val="110"/>
                <w:sz w:val="14"/>
              </w:rPr>
              <w:t xml:space="preserve"> </w:t>
            </w:r>
            <w:r w:rsidRPr="00211C81">
              <w:rPr>
                <w:color w:val="FFFFFF" w:themeColor="background1"/>
                <w:w w:val="110"/>
                <w:sz w:val="14"/>
              </w:rPr>
              <w:t>befattnings-</w:t>
            </w:r>
            <w:r w:rsidRPr="00211C81">
              <w:rPr>
                <w:color w:val="FFFFFF" w:themeColor="background1"/>
                <w:spacing w:val="-46"/>
                <w:w w:val="110"/>
                <w:sz w:val="14"/>
              </w:rPr>
              <w:t xml:space="preserve"> </w:t>
            </w:r>
            <w:r w:rsidRPr="00211C81">
              <w:rPr>
                <w:color w:val="FFFFFF" w:themeColor="background1"/>
                <w:w w:val="105"/>
                <w:sz w:val="14"/>
              </w:rPr>
              <w:t>havare</w:t>
            </w:r>
            <w:r w:rsidRPr="00211C81">
              <w:rPr>
                <w:color w:val="FFFFFF" w:themeColor="background1"/>
                <w:spacing w:val="-9"/>
                <w:w w:val="105"/>
                <w:sz w:val="14"/>
              </w:rPr>
              <w:t xml:space="preserve"> </w:t>
            </w:r>
            <w:r w:rsidRPr="00211C81">
              <w:rPr>
                <w:color w:val="FFFFFF" w:themeColor="background1"/>
                <w:w w:val="105"/>
                <w:sz w:val="14"/>
              </w:rPr>
              <w:t>(roll)</w:t>
            </w:r>
          </w:p>
        </w:tc>
        <w:tc>
          <w:tcPr>
            <w:tcW w:w="1060" w:type="dxa"/>
            <w:shd w:val="clear" w:color="auto" w:fill="0057A6"/>
          </w:tcPr>
          <w:p w14:paraId="046D2140" w14:textId="77777777" w:rsidR="00EB0341" w:rsidRPr="00211C81" w:rsidRDefault="00EB0341">
            <w:pPr>
              <w:pStyle w:val="TableParagraph"/>
              <w:spacing w:before="0"/>
              <w:jc w:val="left"/>
              <w:rPr>
                <w:color w:val="FFFFFF" w:themeColor="background1"/>
                <w:sz w:val="18"/>
              </w:rPr>
            </w:pPr>
          </w:p>
        </w:tc>
        <w:tc>
          <w:tcPr>
            <w:tcW w:w="1684" w:type="dxa"/>
            <w:gridSpan w:val="2"/>
            <w:shd w:val="clear" w:color="auto" w:fill="0057A6"/>
          </w:tcPr>
          <w:p w14:paraId="69A15489" w14:textId="77777777" w:rsidR="00EB0341" w:rsidRPr="00211C81" w:rsidRDefault="00EB0341">
            <w:pPr>
              <w:pStyle w:val="TableParagraph"/>
              <w:spacing w:before="10"/>
              <w:jc w:val="left"/>
              <w:rPr>
                <w:color w:val="FFFFFF" w:themeColor="background1"/>
                <w:sz w:val="13"/>
              </w:rPr>
            </w:pPr>
          </w:p>
          <w:p w14:paraId="6D350620" w14:textId="77777777" w:rsidR="00EB0341" w:rsidRPr="00211C81" w:rsidRDefault="00211C81">
            <w:pPr>
              <w:pStyle w:val="TableParagraph"/>
              <w:spacing w:before="0"/>
              <w:ind w:left="349"/>
              <w:jc w:val="left"/>
              <w:rPr>
                <w:color w:val="FFFFFF" w:themeColor="background1"/>
                <w:sz w:val="14"/>
              </w:rPr>
            </w:pPr>
            <w:r w:rsidRPr="00211C81">
              <w:rPr>
                <w:color w:val="FFFFFF" w:themeColor="background1"/>
                <w:spacing w:val="-1"/>
                <w:w w:val="110"/>
                <w:sz w:val="14"/>
              </w:rPr>
              <w:t>Fast</w:t>
            </w:r>
            <w:r w:rsidRPr="00211C81">
              <w:rPr>
                <w:color w:val="FFFFFF" w:themeColor="background1"/>
                <w:spacing w:val="-11"/>
                <w:w w:val="110"/>
                <w:sz w:val="14"/>
              </w:rPr>
              <w:t xml:space="preserve"> </w:t>
            </w:r>
            <w:r w:rsidRPr="00211C81">
              <w:rPr>
                <w:color w:val="FFFFFF" w:themeColor="background1"/>
                <w:spacing w:val="-1"/>
                <w:w w:val="110"/>
                <w:sz w:val="14"/>
              </w:rPr>
              <w:t>ersättning</w:t>
            </w:r>
          </w:p>
        </w:tc>
        <w:tc>
          <w:tcPr>
            <w:tcW w:w="1707" w:type="dxa"/>
            <w:gridSpan w:val="2"/>
            <w:shd w:val="clear" w:color="auto" w:fill="0057A6"/>
          </w:tcPr>
          <w:p w14:paraId="2638EB38" w14:textId="77777777" w:rsidR="00EB0341" w:rsidRPr="00211C81" w:rsidRDefault="00EB0341">
            <w:pPr>
              <w:pStyle w:val="TableParagraph"/>
              <w:spacing w:before="10"/>
              <w:jc w:val="left"/>
              <w:rPr>
                <w:color w:val="FFFFFF" w:themeColor="background1"/>
                <w:sz w:val="13"/>
              </w:rPr>
            </w:pPr>
          </w:p>
          <w:p w14:paraId="70A484E7" w14:textId="77777777" w:rsidR="00EB0341" w:rsidRPr="00211C81" w:rsidRDefault="00211C81">
            <w:pPr>
              <w:pStyle w:val="TableParagraph"/>
              <w:spacing w:before="0"/>
              <w:ind w:left="311"/>
              <w:jc w:val="left"/>
              <w:rPr>
                <w:color w:val="FFFFFF" w:themeColor="background1"/>
                <w:sz w:val="14"/>
              </w:rPr>
            </w:pPr>
            <w:r w:rsidRPr="00211C81">
              <w:rPr>
                <w:color w:val="FFFFFF" w:themeColor="background1"/>
                <w:w w:val="105"/>
                <w:sz w:val="14"/>
              </w:rPr>
              <w:t>Rörlig</w:t>
            </w:r>
            <w:r w:rsidRPr="00211C81">
              <w:rPr>
                <w:color w:val="FFFFFF" w:themeColor="background1"/>
                <w:spacing w:val="-6"/>
                <w:w w:val="105"/>
                <w:sz w:val="14"/>
              </w:rPr>
              <w:t xml:space="preserve"> </w:t>
            </w:r>
            <w:r w:rsidRPr="00211C81">
              <w:rPr>
                <w:color w:val="FFFFFF" w:themeColor="background1"/>
                <w:w w:val="105"/>
                <w:sz w:val="14"/>
              </w:rPr>
              <w:t>ersättning</w:t>
            </w:r>
          </w:p>
        </w:tc>
        <w:tc>
          <w:tcPr>
            <w:tcW w:w="3605" w:type="dxa"/>
            <w:gridSpan w:val="4"/>
            <w:shd w:val="clear" w:color="auto" w:fill="0057A6"/>
          </w:tcPr>
          <w:p w14:paraId="728B8FA5" w14:textId="77777777" w:rsidR="00EB0341" w:rsidRPr="00211C81" w:rsidRDefault="00EB0341">
            <w:pPr>
              <w:pStyle w:val="TableParagraph"/>
              <w:spacing w:before="0"/>
              <w:jc w:val="left"/>
              <w:rPr>
                <w:color w:val="FFFFFF" w:themeColor="background1"/>
                <w:sz w:val="18"/>
              </w:rPr>
            </w:pPr>
          </w:p>
        </w:tc>
      </w:tr>
      <w:tr w:rsidR="00EB0341" w:rsidRPr="0028149C" w14:paraId="0E1ABF1C" w14:textId="77777777" w:rsidTr="00211C81">
        <w:trPr>
          <w:trHeight w:val="748"/>
        </w:trPr>
        <w:tc>
          <w:tcPr>
            <w:tcW w:w="1010" w:type="dxa"/>
            <w:vMerge/>
            <w:tcBorders>
              <w:top w:val="nil"/>
            </w:tcBorders>
            <w:shd w:val="clear" w:color="auto" w:fill="0057A6"/>
          </w:tcPr>
          <w:p w14:paraId="395E43A4" w14:textId="77777777" w:rsidR="00EB0341" w:rsidRPr="00211C81" w:rsidRDefault="00EB0341">
            <w:pPr>
              <w:rPr>
                <w:color w:val="FFFFFF" w:themeColor="background1"/>
                <w:sz w:val="2"/>
                <w:szCs w:val="2"/>
              </w:rPr>
            </w:pPr>
          </w:p>
        </w:tc>
        <w:tc>
          <w:tcPr>
            <w:tcW w:w="1060" w:type="dxa"/>
            <w:shd w:val="clear" w:color="auto" w:fill="0057A6"/>
          </w:tcPr>
          <w:p w14:paraId="7055AB3D" w14:textId="77777777" w:rsidR="00EB0341" w:rsidRPr="00211C81" w:rsidRDefault="00211C81">
            <w:pPr>
              <w:pStyle w:val="TableParagraph"/>
              <w:spacing w:before="116"/>
              <w:ind w:left="39" w:right="33"/>
              <w:rPr>
                <w:color w:val="FFFFFF" w:themeColor="background1"/>
                <w:sz w:val="14"/>
              </w:rPr>
            </w:pPr>
            <w:r w:rsidRPr="00211C81">
              <w:rPr>
                <w:color w:val="FFFFFF" w:themeColor="background1"/>
                <w:w w:val="110"/>
                <w:sz w:val="14"/>
              </w:rPr>
              <w:t>Räkenskapsår</w:t>
            </w:r>
          </w:p>
        </w:tc>
        <w:tc>
          <w:tcPr>
            <w:tcW w:w="840" w:type="dxa"/>
            <w:shd w:val="clear" w:color="auto" w:fill="0057A6"/>
          </w:tcPr>
          <w:p w14:paraId="21973A00" w14:textId="77777777" w:rsidR="00EB0341" w:rsidRPr="00211C81" w:rsidRDefault="00211C81">
            <w:pPr>
              <w:pStyle w:val="TableParagraph"/>
              <w:spacing w:before="116"/>
              <w:ind w:left="80" w:right="65"/>
              <w:rPr>
                <w:color w:val="FFFFFF" w:themeColor="background1"/>
                <w:sz w:val="14"/>
              </w:rPr>
            </w:pPr>
            <w:r w:rsidRPr="00211C81">
              <w:rPr>
                <w:color w:val="FFFFFF" w:themeColor="background1"/>
                <w:w w:val="105"/>
                <w:sz w:val="14"/>
              </w:rPr>
              <w:t>Grundlön</w:t>
            </w:r>
            <w:r w:rsidRPr="00211C81">
              <w:rPr>
                <w:color w:val="FFFFFF" w:themeColor="background1"/>
                <w:w w:val="105"/>
                <w:sz w:val="14"/>
                <w:vertAlign w:val="superscript"/>
              </w:rPr>
              <w:t>1</w:t>
            </w:r>
          </w:p>
        </w:tc>
        <w:tc>
          <w:tcPr>
            <w:tcW w:w="844" w:type="dxa"/>
            <w:shd w:val="clear" w:color="auto" w:fill="0057A6"/>
          </w:tcPr>
          <w:p w14:paraId="4198C8C6" w14:textId="77777777" w:rsidR="00EB0341" w:rsidRPr="00211C81" w:rsidRDefault="00211C81">
            <w:pPr>
              <w:pStyle w:val="TableParagraph"/>
              <w:spacing w:before="114"/>
              <w:ind w:left="99" w:right="70" w:firstLine="127"/>
              <w:jc w:val="left"/>
              <w:rPr>
                <w:color w:val="FFFFFF" w:themeColor="background1"/>
                <w:sz w:val="14"/>
              </w:rPr>
            </w:pPr>
            <w:r w:rsidRPr="00211C81">
              <w:rPr>
                <w:color w:val="FFFFFF" w:themeColor="background1"/>
                <w:w w:val="105"/>
                <w:sz w:val="14"/>
              </w:rPr>
              <w:t>Andra</w:t>
            </w:r>
            <w:r w:rsidRPr="00211C81">
              <w:rPr>
                <w:color w:val="FFFFFF" w:themeColor="background1"/>
                <w:spacing w:val="1"/>
                <w:w w:val="105"/>
                <w:sz w:val="14"/>
              </w:rPr>
              <w:t xml:space="preserve"> </w:t>
            </w:r>
            <w:r w:rsidRPr="00211C81">
              <w:rPr>
                <w:color w:val="FFFFFF" w:themeColor="background1"/>
                <w:w w:val="105"/>
                <w:sz w:val="14"/>
              </w:rPr>
              <w:t>förmåner</w:t>
            </w:r>
            <w:r w:rsidRPr="00211C81">
              <w:rPr>
                <w:color w:val="FFFFFF" w:themeColor="background1"/>
                <w:w w:val="105"/>
                <w:sz w:val="14"/>
                <w:vertAlign w:val="superscript"/>
              </w:rPr>
              <w:t>2</w:t>
            </w:r>
          </w:p>
        </w:tc>
        <w:tc>
          <w:tcPr>
            <w:tcW w:w="839" w:type="dxa"/>
            <w:shd w:val="clear" w:color="auto" w:fill="0057A6"/>
          </w:tcPr>
          <w:p w14:paraId="1D5B254E" w14:textId="77777777" w:rsidR="00EB0341" w:rsidRPr="00211C81" w:rsidRDefault="00211C81">
            <w:pPr>
              <w:pStyle w:val="TableParagraph"/>
              <w:spacing w:before="114"/>
              <w:ind w:left="160" w:right="142" w:firstLine="43"/>
              <w:jc w:val="left"/>
              <w:rPr>
                <w:color w:val="FFFFFF" w:themeColor="background1"/>
                <w:sz w:val="14"/>
              </w:rPr>
            </w:pPr>
            <w:r w:rsidRPr="00211C81">
              <w:rPr>
                <w:color w:val="FFFFFF" w:themeColor="background1"/>
                <w:w w:val="105"/>
                <w:sz w:val="14"/>
              </w:rPr>
              <w:t>Ettårig</w:t>
            </w:r>
            <w:r w:rsidRPr="00211C81">
              <w:rPr>
                <w:color w:val="FFFFFF" w:themeColor="background1"/>
                <w:spacing w:val="1"/>
                <w:w w:val="105"/>
                <w:sz w:val="14"/>
              </w:rPr>
              <w:t xml:space="preserve"> </w:t>
            </w:r>
            <w:r w:rsidRPr="00211C81">
              <w:rPr>
                <w:color w:val="FFFFFF" w:themeColor="background1"/>
                <w:w w:val="105"/>
                <w:sz w:val="14"/>
              </w:rPr>
              <w:t>variabel</w:t>
            </w:r>
          </w:p>
        </w:tc>
        <w:tc>
          <w:tcPr>
            <w:tcW w:w="868" w:type="dxa"/>
            <w:shd w:val="clear" w:color="auto" w:fill="0057A6"/>
          </w:tcPr>
          <w:p w14:paraId="4CB2DEDA" w14:textId="4871F264" w:rsidR="00EB0341" w:rsidRPr="00211C81" w:rsidRDefault="00211C81">
            <w:pPr>
              <w:pStyle w:val="TableParagraph"/>
              <w:spacing w:before="114"/>
              <w:ind w:left="152" w:right="128" w:firstLine="36"/>
              <w:jc w:val="left"/>
              <w:rPr>
                <w:color w:val="FFFFFF" w:themeColor="background1"/>
                <w:sz w:val="14"/>
              </w:rPr>
            </w:pPr>
            <w:r w:rsidRPr="00211C81">
              <w:rPr>
                <w:color w:val="FFFFFF" w:themeColor="background1"/>
                <w:w w:val="105"/>
                <w:sz w:val="14"/>
              </w:rPr>
              <w:t>Flerårig</w:t>
            </w:r>
            <w:r w:rsidRPr="00211C81">
              <w:rPr>
                <w:color w:val="FFFFFF" w:themeColor="background1"/>
                <w:spacing w:val="1"/>
                <w:w w:val="105"/>
                <w:sz w:val="14"/>
              </w:rPr>
              <w:t xml:space="preserve"> </w:t>
            </w:r>
            <w:r w:rsidRPr="00211C81">
              <w:rPr>
                <w:color w:val="FFFFFF" w:themeColor="background1"/>
                <w:w w:val="105"/>
                <w:sz w:val="14"/>
              </w:rPr>
              <w:t>variabel</w:t>
            </w:r>
          </w:p>
        </w:tc>
        <w:tc>
          <w:tcPr>
            <w:tcW w:w="1084" w:type="dxa"/>
            <w:shd w:val="clear" w:color="auto" w:fill="0057A6"/>
          </w:tcPr>
          <w:p w14:paraId="051C2FE9" w14:textId="77777777" w:rsidR="00EB0341" w:rsidRPr="00211C81" w:rsidRDefault="00211C81">
            <w:pPr>
              <w:pStyle w:val="TableParagraph"/>
              <w:spacing w:before="114"/>
              <w:ind w:left="146" w:hanging="44"/>
              <w:jc w:val="left"/>
              <w:rPr>
                <w:color w:val="FFFFFF" w:themeColor="background1"/>
                <w:sz w:val="14"/>
              </w:rPr>
            </w:pPr>
            <w:r w:rsidRPr="00211C81">
              <w:rPr>
                <w:color w:val="FFFFFF" w:themeColor="background1"/>
                <w:w w:val="105"/>
                <w:sz w:val="14"/>
              </w:rPr>
              <w:t>Extraordinära</w:t>
            </w:r>
            <w:r w:rsidRPr="00211C81">
              <w:rPr>
                <w:color w:val="FFFFFF" w:themeColor="background1"/>
                <w:spacing w:val="-43"/>
                <w:w w:val="105"/>
                <w:sz w:val="14"/>
              </w:rPr>
              <w:t xml:space="preserve"> </w:t>
            </w:r>
            <w:r w:rsidRPr="00211C81">
              <w:rPr>
                <w:color w:val="FFFFFF" w:themeColor="background1"/>
                <w:w w:val="105"/>
                <w:sz w:val="14"/>
              </w:rPr>
              <w:t>ersättningar</w:t>
            </w:r>
          </w:p>
        </w:tc>
        <w:tc>
          <w:tcPr>
            <w:tcW w:w="698" w:type="dxa"/>
            <w:shd w:val="clear" w:color="auto" w:fill="0057A6"/>
          </w:tcPr>
          <w:p w14:paraId="2566A18A" w14:textId="1305DB6C" w:rsidR="00EB0341" w:rsidRPr="00211C81" w:rsidRDefault="00211C81">
            <w:pPr>
              <w:pStyle w:val="TableParagraph"/>
              <w:spacing w:before="116"/>
              <w:ind w:left="44" w:right="23"/>
              <w:rPr>
                <w:color w:val="FFFFFF" w:themeColor="background1"/>
                <w:sz w:val="14"/>
              </w:rPr>
            </w:pPr>
            <w:r w:rsidRPr="00211C81">
              <w:rPr>
                <w:color w:val="FFFFFF" w:themeColor="background1"/>
                <w:w w:val="110"/>
                <w:sz w:val="14"/>
              </w:rPr>
              <w:t>Pension</w:t>
            </w:r>
            <w:r w:rsidR="00B333F4" w:rsidRPr="00211C81">
              <w:rPr>
                <w:color w:val="FFFFFF" w:themeColor="background1"/>
                <w:w w:val="110"/>
                <w:sz w:val="14"/>
                <w:vertAlign w:val="superscript"/>
              </w:rPr>
              <w:t>3</w:t>
            </w:r>
          </w:p>
        </w:tc>
        <w:tc>
          <w:tcPr>
            <w:tcW w:w="840" w:type="dxa"/>
            <w:shd w:val="clear" w:color="auto" w:fill="0057A6"/>
          </w:tcPr>
          <w:p w14:paraId="6D4FDED5" w14:textId="77777777" w:rsidR="00EB0341" w:rsidRPr="00211C81" w:rsidRDefault="00211C81">
            <w:pPr>
              <w:pStyle w:val="TableParagraph"/>
              <w:spacing w:before="114"/>
              <w:ind w:left="92" w:right="67" w:firstLine="166"/>
              <w:jc w:val="left"/>
              <w:rPr>
                <w:color w:val="FFFFFF" w:themeColor="background1"/>
                <w:sz w:val="14"/>
              </w:rPr>
            </w:pPr>
            <w:r w:rsidRPr="00211C81">
              <w:rPr>
                <w:color w:val="FFFFFF" w:themeColor="background1"/>
                <w:w w:val="105"/>
                <w:sz w:val="14"/>
              </w:rPr>
              <w:t>Total</w:t>
            </w:r>
            <w:r w:rsidRPr="00211C81">
              <w:rPr>
                <w:color w:val="FFFFFF" w:themeColor="background1"/>
                <w:spacing w:val="1"/>
                <w:w w:val="105"/>
                <w:sz w:val="14"/>
              </w:rPr>
              <w:t xml:space="preserve"> </w:t>
            </w:r>
            <w:r w:rsidRPr="00211C81">
              <w:rPr>
                <w:color w:val="FFFFFF" w:themeColor="background1"/>
                <w:w w:val="105"/>
                <w:sz w:val="14"/>
              </w:rPr>
              <w:t>ersättning</w:t>
            </w:r>
          </w:p>
        </w:tc>
        <w:tc>
          <w:tcPr>
            <w:tcW w:w="983" w:type="dxa"/>
            <w:shd w:val="clear" w:color="auto" w:fill="0057A6"/>
          </w:tcPr>
          <w:p w14:paraId="2C2477F5" w14:textId="77777777" w:rsidR="00EB0341" w:rsidRPr="00211C81" w:rsidRDefault="00211C81">
            <w:pPr>
              <w:pStyle w:val="TableParagraph"/>
              <w:spacing w:before="114"/>
              <w:ind w:left="66" w:right="41"/>
              <w:rPr>
                <w:color w:val="FFFFFF" w:themeColor="background1"/>
                <w:sz w:val="14"/>
              </w:rPr>
            </w:pPr>
            <w:r w:rsidRPr="00211C81">
              <w:rPr>
                <w:color w:val="FFFFFF" w:themeColor="background1"/>
                <w:spacing w:val="-2"/>
                <w:w w:val="110"/>
                <w:sz w:val="14"/>
              </w:rPr>
              <w:t>Andel av fast</w:t>
            </w:r>
            <w:r w:rsidRPr="00211C81">
              <w:rPr>
                <w:color w:val="FFFFFF" w:themeColor="background1"/>
                <w:spacing w:val="-46"/>
                <w:w w:val="110"/>
                <w:sz w:val="14"/>
              </w:rPr>
              <w:t xml:space="preserve"> </w:t>
            </w:r>
            <w:r w:rsidRPr="00211C81">
              <w:rPr>
                <w:color w:val="FFFFFF" w:themeColor="background1"/>
                <w:w w:val="105"/>
                <w:sz w:val="14"/>
              </w:rPr>
              <w:t>och rörlig</w:t>
            </w:r>
            <w:r w:rsidRPr="00211C81">
              <w:rPr>
                <w:color w:val="FFFFFF" w:themeColor="background1"/>
                <w:spacing w:val="1"/>
                <w:w w:val="105"/>
                <w:sz w:val="14"/>
              </w:rPr>
              <w:t xml:space="preserve"> </w:t>
            </w:r>
            <w:r w:rsidRPr="00211C81">
              <w:rPr>
                <w:color w:val="FFFFFF" w:themeColor="background1"/>
                <w:w w:val="110"/>
                <w:sz w:val="14"/>
              </w:rPr>
              <w:t>ersättning</w:t>
            </w:r>
          </w:p>
        </w:tc>
      </w:tr>
      <w:tr w:rsidR="00EB0341" w:rsidRPr="0028149C" w14:paraId="53D7E558" w14:textId="77777777">
        <w:trPr>
          <w:trHeight w:val="748"/>
        </w:trPr>
        <w:tc>
          <w:tcPr>
            <w:tcW w:w="1010" w:type="dxa"/>
          </w:tcPr>
          <w:p w14:paraId="33224521" w14:textId="07CCD11A" w:rsidR="00EB0341" w:rsidRPr="0028149C" w:rsidRDefault="008D607F">
            <w:pPr>
              <w:pStyle w:val="TableParagraph"/>
              <w:spacing w:before="114"/>
              <w:ind w:left="148" w:right="137" w:hanging="2"/>
              <w:rPr>
                <w:sz w:val="14"/>
              </w:rPr>
            </w:pPr>
            <w:r w:rsidRPr="0028149C">
              <w:rPr>
                <w:w w:val="110"/>
                <w:sz w:val="14"/>
              </w:rPr>
              <w:t>Joel Bollö</w:t>
            </w:r>
            <w:r w:rsidR="00211C81" w:rsidRPr="0028149C">
              <w:rPr>
                <w:spacing w:val="-46"/>
                <w:w w:val="110"/>
                <w:sz w:val="14"/>
              </w:rPr>
              <w:t xml:space="preserve"> </w:t>
            </w:r>
            <w:r w:rsidR="00211C81" w:rsidRPr="0028149C">
              <w:rPr>
                <w:w w:val="110"/>
                <w:sz w:val="14"/>
              </w:rPr>
              <w:t>(Vd)</w:t>
            </w:r>
          </w:p>
        </w:tc>
        <w:tc>
          <w:tcPr>
            <w:tcW w:w="1060" w:type="dxa"/>
          </w:tcPr>
          <w:p w14:paraId="44C2C00E" w14:textId="77777777" w:rsidR="00EB0341" w:rsidRPr="0028149C" w:rsidRDefault="00EB0341">
            <w:pPr>
              <w:pStyle w:val="TableParagraph"/>
              <w:spacing w:before="6"/>
              <w:jc w:val="left"/>
            </w:pPr>
          </w:p>
          <w:p w14:paraId="7E4EB458" w14:textId="7F113C4C" w:rsidR="00EB0341" w:rsidRPr="0028149C" w:rsidRDefault="00211C81">
            <w:pPr>
              <w:pStyle w:val="TableParagraph"/>
              <w:spacing w:before="0"/>
              <w:ind w:left="39" w:right="27"/>
              <w:rPr>
                <w:sz w:val="16"/>
              </w:rPr>
            </w:pPr>
            <w:r w:rsidRPr="0028149C">
              <w:rPr>
                <w:w w:val="115"/>
                <w:sz w:val="16"/>
              </w:rPr>
              <w:t>202</w:t>
            </w:r>
            <w:r w:rsidR="00A352DA">
              <w:rPr>
                <w:w w:val="115"/>
                <w:sz w:val="16"/>
              </w:rPr>
              <w:t>2</w:t>
            </w:r>
          </w:p>
        </w:tc>
        <w:tc>
          <w:tcPr>
            <w:tcW w:w="840" w:type="dxa"/>
          </w:tcPr>
          <w:p w14:paraId="2C699D50" w14:textId="77777777" w:rsidR="00EB0341" w:rsidRPr="0028149C" w:rsidRDefault="00EB0341" w:rsidP="00B333F4">
            <w:pPr>
              <w:pStyle w:val="TableParagraph"/>
              <w:spacing w:before="6"/>
            </w:pPr>
          </w:p>
          <w:p w14:paraId="6AC4DDF3" w14:textId="5AD69593" w:rsidR="00EB0341" w:rsidRPr="0028149C" w:rsidRDefault="003303DD" w:rsidP="00B333F4">
            <w:pPr>
              <w:pStyle w:val="TableParagraph"/>
              <w:spacing w:before="0"/>
              <w:ind w:left="80" w:right="64"/>
              <w:rPr>
                <w:sz w:val="16"/>
              </w:rPr>
            </w:pPr>
            <w:r w:rsidRPr="0028149C">
              <w:rPr>
                <w:sz w:val="16"/>
              </w:rPr>
              <w:t xml:space="preserve">3 </w:t>
            </w:r>
            <w:r w:rsidR="00A352DA">
              <w:rPr>
                <w:sz w:val="16"/>
              </w:rPr>
              <w:t>432</w:t>
            </w:r>
          </w:p>
        </w:tc>
        <w:tc>
          <w:tcPr>
            <w:tcW w:w="844" w:type="dxa"/>
          </w:tcPr>
          <w:p w14:paraId="1D83B5F4" w14:textId="77777777" w:rsidR="00EB0341" w:rsidRPr="0028149C" w:rsidRDefault="00EB0341" w:rsidP="00B333F4">
            <w:pPr>
              <w:pStyle w:val="TableParagraph"/>
              <w:spacing w:before="6"/>
            </w:pPr>
          </w:p>
          <w:p w14:paraId="60E82316" w14:textId="0D72F866" w:rsidR="00EB0341" w:rsidRPr="0028149C" w:rsidRDefault="00B333F4" w:rsidP="00B333F4">
            <w:pPr>
              <w:pStyle w:val="TableParagraph"/>
              <w:spacing w:before="0"/>
              <w:ind w:right="287"/>
              <w:rPr>
                <w:sz w:val="16"/>
              </w:rPr>
            </w:pPr>
            <w:r w:rsidRPr="0028149C">
              <w:rPr>
                <w:sz w:val="16"/>
              </w:rPr>
              <w:t xml:space="preserve">    </w:t>
            </w:r>
            <w:r w:rsidR="00427F86">
              <w:rPr>
                <w:sz w:val="16"/>
              </w:rPr>
              <w:t>7</w:t>
            </w:r>
            <w:r w:rsidR="00A352DA">
              <w:rPr>
                <w:sz w:val="16"/>
              </w:rPr>
              <w:t>6</w:t>
            </w:r>
          </w:p>
        </w:tc>
        <w:tc>
          <w:tcPr>
            <w:tcW w:w="839" w:type="dxa"/>
          </w:tcPr>
          <w:p w14:paraId="4496EDD7" w14:textId="77777777" w:rsidR="00EB0341" w:rsidRPr="0028149C" w:rsidRDefault="00EB0341" w:rsidP="00B333F4">
            <w:pPr>
              <w:pStyle w:val="TableParagraph"/>
              <w:spacing w:before="6"/>
            </w:pPr>
          </w:p>
          <w:p w14:paraId="6D2F2BB1" w14:textId="64D402C7" w:rsidR="00EB0341" w:rsidRPr="0028149C" w:rsidRDefault="00B333F4" w:rsidP="00B333F4">
            <w:pPr>
              <w:pStyle w:val="TableParagraph"/>
              <w:spacing w:before="0"/>
              <w:rPr>
                <w:sz w:val="16"/>
              </w:rPr>
            </w:pPr>
            <w:r w:rsidRPr="0028149C">
              <w:rPr>
                <w:sz w:val="16"/>
              </w:rPr>
              <w:t>-</w:t>
            </w:r>
          </w:p>
        </w:tc>
        <w:tc>
          <w:tcPr>
            <w:tcW w:w="868" w:type="dxa"/>
          </w:tcPr>
          <w:p w14:paraId="45AC164B" w14:textId="77777777" w:rsidR="00EB0341" w:rsidRPr="0028149C" w:rsidRDefault="00EB0341" w:rsidP="00B333F4">
            <w:pPr>
              <w:pStyle w:val="TableParagraph"/>
              <w:spacing w:before="6"/>
            </w:pPr>
          </w:p>
          <w:p w14:paraId="75E011C9" w14:textId="347B7F75" w:rsidR="00EB0341" w:rsidRPr="0028149C" w:rsidRDefault="00B333F4" w:rsidP="00B333F4">
            <w:pPr>
              <w:pStyle w:val="TableParagraph"/>
              <w:spacing w:before="0"/>
              <w:ind w:left="228"/>
              <w:rPr>
                <w:sz w:val="16"/>
              </w:rPr>
            </w:pPr>
            <w:r w:rsidRPr="0028149C">
              <w:rPr>
                <w:sz w:val="16"/>
              </w:rPr>
              <w:t>-</w:t>
            </w:r>
          </w:p>
        </w:tc>
        <w:tc>
          <w:tcPr>
            <w:tcW w:w="1084" w:type="dxa"/>
          </w:tcPr>
          <w:p w14:paraId="3017445B" w14:textId="77777777" w:rsidR="00EB0341" w:rsidRPr="0028149C" w:rsidRDefault="00EB0341" w:rsidP="00B333F4">
            <w:pPr>
              <w:pStyle w:val="TableParagraph"/>
              <w:spacing w:before="6"/>
            </w:pPr>
          </w:p>
          <w:p w14:paraId="07A6261D" w14:textId="77777777" w:rsidR="00EB0341" w:rsidRPr="0028149C" w:rsidRDefault="00211C81" w:rsidP="00B333F4">
            <w:pPr>
              <w:pStyle w:val="TableParagraph"/>
              <w:spacing w:before="0"/>
              <w:ind w:left="21"/>
              <w:rPr>
                <w:sz w:val="16"/>
              </w:rPr>
            </w:pPr>
            <w:r w:rsidRPr="0028149C">
              <w:rPr>
                <w:w w:val="127"/>
                <w:sz w:val="16"/>
              </w:rPr>
              <w:t>-</w:t>
            </w:r>
          </w:p>
        </w:tc>
        <w:tc>
          <w:tcPr>
            <w:tcW w:w="698" w:type="dxa"/>
          </w:tcPr>
          <w:p w14:paraId="0C10CBDA" w14:textId="77777777" w:rsidR="00EB0341" w:rsidRPr="0028149C" w:rsidRDefault="00EB0341" w:rsidP="00B333F4">
            <w:pPr>
              <w:pStyle w:val="TableParagraph"/>
              <w:spacing w:before="6"/>
            </w:pPr>
          </w:p>
          <w:p w14:paraId="7B692F33" w14:textId="45BA6F32" w:rsidR="00EB0341" w:rsidRPr="0028149C" w:rsidRDefault="00F910AC" w:rsidP="00B333F4">
            <w:pPr>
              <w:pStyle w:val="TableParagraph"/>
              <w:spacing w:before="0"/>
              <w:ind w:left="44" w:right="22"/>
              <w:rPr>
                <w:sz w:val="16"/>
              </w:rPr>
            </w:pPr>
            <w:r w:rsidRPr="0028149C">
              <w:rPr>
                <w:sz w:val="16"/>
              </w:rPr>
              <w:t>5</w:t>
            </w:r>
            <w:r w:rsidR="00A352DA">
              <w:rPr>
                <w:sz w:val="16"/>
              </w:rPr>
              <w:t>44</w:t>
            </w:r>
          </w:p>
        </w:tc>
        <w:tc>
          <w:tcPr>
            <w:tcW w:w="840" w:type="dxa"/>
          </w:tcPr>
          <w:p w14:paraId="0D44C2E6" w14:textId="77777777" w:rsidR="00EB0341" w:rsidRPr="0028149C" w:rsidRDefault="00EB0341" w:rsidP="00B333F4">
            <w:pPr>
              <w:pStyle w:val="TableParagraph"/>
              <w:spacing w:before="6"/>
            </w:pPr>
          </w:p>
          <w:p w14:paraId="21F59F57" w14:textId="3AFA73DF" w:rsidR="00EB0341" w:rsidRPr="0028149C" w:rsidRDefault="00A352DA" w:rsidP="00B333F4">
            <w:pPr>
              <w:pStyle w:val="TableParagraph"/>
              <w:spacing w:before="0"/>
              <w:ind w:left="179"/>
              <w:rPr>
                <w:sz w:val="16"/>
              </w:rPr>
            </w:pPr>
            <w:r>
              <w:rPr>
                <w:sz w:val="16"/>
              </w:rPr>
              <w:t>4 052</w:t>
            </w:r>
          </w:p>
        </w:tc>
        <w:tc>
          <w:tcPr>
            <w:tcW w:w="983" w:type="dxa"/>
          </w:tcPr>
          <w:p w14:paraId="66EE7F68" w14:textId="77777777" w:rsidR="00EB0341" w:rsidRPr="0028149C" w:rsidRDefault="00EB0341" w:rsidP="00B333F4">
            <w:pPr>
              <w:pStyle w:val="TableParagraph"/>
              <w:spacing w:before="6"/>
            </w:pPr>
          </w:p>
          <w:p w14:paraId="669A9876" w14:textId="38740D0B" w:rsidR="00EB0341" w:rsidRPr="0028149C" w:rsidRDefault="00B333F4" w:rsidP="00B333F4">
            <w:pPr>
              <w:pStyle w:val="TableParagraph"/>
              <w:spacing w:before="0"/>
              <w:ind w:left="239"/>
              <w:rPr>
                <w:sz w:val="16"/>
              </w:rPr>
            </w:pPr>
            <w:r w:rsidRPr="0028149C">
              <w:rPr>
                <w:sz w:val="16"/>
              </w:rPr>
              <w:t>100/0</w:t>
            </w:r>
          </w:p>
        </w:tc>
      </w:tr>
      <w:bookmarkEnd w:id="0"/>
    </w:tbl>
    <w:p w14:paraId="1C865230" w14:textId="77777777" w:rsidR="00EB0341" w:rsidRPr="0028149C" w:rsidRDefault="00EB0341">
      <w:pPr>
        <w:pStyle w:val="BodyText"/>
        <w:rPr>
          <w:sz w:val="24"/>
        </w:rPr>
      </w:pPr>
    </w:p>
    <w:p w14:paraId="12D45411" w14:textId="0A801BAC" w:rsidR="00BC2171" w:rsidRDefault="00211C81" w:rsidP="00BC2171">
      <w:pPr>
        <w:pStyle w:val="Heading1"/>
        <w:spacing w:before="149"/>
        <w:jc w:val="both"/>
      </w:pPr>
      <w:r w:rsidRPr="0028149C">
        <w:rPr>
          <w:w w:val="105"/>
        </w:rPr>
        <w:t>Aktiebaserad</w:t>
      </w:r>
      <w:r w:rsidRPr="0028149C">
        <w:rPr>
          <w:spacing w:val="-12"/>
          <w:w w:val="105"/>
        </w:rPr>
        <w:t xml:space="preserve"> </w:t>
      </w:r>
      <w:r w:rsidRPr="0028149C">
        <w:rPr>
          <w:w w:val="105"/>
        </w:rPr>
        <w:t>ersättning</w:t>
      </w:r>
      <w:r w:rsidR="007221D1">
        <w:rPr>
          <w:w w:val="105"/>
        </w:rPr>
        <w:t xml:space="preserve">  </w:t>
      </w:r>
    </w:p>
    <w:p w14:paraId="306CDE65" w14:textId="6FB24463" w:rsidR="003303DD" w:rsidRPr="00BC2171" w:rsidRDefault="008D66EC" w:rsidP="00BC2171">
      <w:pPr>
        <w:pStyle w:val="Heading1"/>
        <w:spacing w:before="149"/>
        <w:jc w:val="both"/>
        <w:rPr>
          <w:sz w:val="20"/>
          <w:szCs w:val="20"/>
          <w:u w:val="none"/>
        </w:rPr>
      </w:pPr>
      <w:r w:rsidRPr="00BC2171">
        <w:rPr>
          <w:sz w:val="20"/>
          <w:szCs w:val="20"/>
          <w:u w:val="none"/>
        </w:rPr>
        <w:t>Bolaget har inga aktiva incitamentsprogram</w:t>
      </w:r>
      <w:r w:rsidR="007221D1" w:rsidRPr="00BC2171">
        <w:rPr>
          <w:sz w:val="20"/>
          <w:szCs w:val="20"/>
          <w:u w:val="none"/>
        </w:rPr>
        <w:t>.</w:t>
      </w:r>
    </w:p>
    <w:p w14:paraId="1D23F587" w14:textId="2D1CC89E" w:rsidR="00EB0341" w:rsidRPr="0028149C" w:rsidRDefault="00D3045F" w:rsidP="003303DD">
      <w:pPr>
        <w:pStyle w:val="BodyText"/>
        <w:spacing w:before="188"/>
        <w:ind w:left="140"/>
        <w:jc w:val="both"/>
      </w:pPr>
      <w:r>
        <w:rPr>
          <w:noProof/>
        </w:rPr>
        <mc:AlternateContent>
          <mc:Choice Requires="wps">
            <w:drawing>
              <wp:anchor distT="0" distB="0" distL="0" distR="0" simplePos="0" relativeHeight="251657728" behindDoc="1" locked="0" layoutInCell="1" allowOverlap="1" wp14:anchorId="0941BB8B" wp14:editId="505A23D0">
                <wp:simplePos x="0" y="0"/>
                <wp:positionH relativeFrom="page">
                  <wp:posOffset>914400</wp:posOffset>
                </wp:positionH>
                <wp:positionV relativeFrom="paragraph">
                  <wp:posOffset>252730</wp:posOffset>
                </wp:positionV>
                <wp:extent cx="1828800" cy="8890"/>
                <wp:effectExtent l="0" t="0" r="0" b="0"/>
                <wp:wrapTopAndBottom/>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DEB3" id="Rectangle 4" o:spid="_x0000_s1026" style="position:absolute;margin-left:1in;margin-top:19.9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" fillcolor="black" stroked="f">
                <w10:wrap type="topAndBottom" anchorx="page"/>
              </v:rect>
            </w:pict>
          </mc:Fallback>
        </mc:AlternateContent>
      </w:r>
    </w:p>
    <w:p w14:paraId="078F0687" w14:textId="63D75990" w:rsidR="00EB0341" w:rsidRPr="0028149C" w:rsidRDefault="00211C81">
      <w:pPr>
        <w:spacing w:before="65"/>
        <w:ind w:left="140" w:right="453"/>
        <w:jc w:val="both"/>
        <w:rPr>
          <w:sz w:val="16"/>
        </w:rPr>
      </w:pPr>
      <w:r w:rsidRPr="0028149C">
        <w:rPr>
          <w:w w:val="110"/>
          <w:sz w:val="16"/>
          <w:vertAlign w:val="superscript"/>
        </w:rPr>
        <w:t>*</w:t>
      </w:r>
      <w:r w:rsidRPr="0028149C">
        <w:rPr>
          <w:w w:val="110"/>
          <w:sz w:val="16"/>
        </w:rPr>
        <w:t xml:space="preserve"> Tabellen redovisar ersättning som är hänförbar och kostnadsförd under 202</w:t>
      </w:r>
      <w:r w:rsidR="000D337C">
        <w:rPr>
          <w:w w:val="110"/>
          <w:sz w:val="16"/>
        </w:rPr>
        <w:t>2</w:t>
      </w:r>
      <w:r w:rsidRPr="0028149C">
        <w:rPr>
          <w:w w:val="110"/>
          <w:sz w:val="16"/>
        </w:rPr>
        <w:t xml:space="preserve">. </w:t>
      </w:r>
    </w:p>
    <w:p w14:paraId="14FA0B4A" w14:textId="77777777" w:rsidR="00EB0341" w:rsidRPr="0028149C" w:rsidRDefault="00211C81">
      <w:pPr>
        <w:spacing w:before="1"/>
        <w:ind w:left="140"/>
        <w:jc w:val="both"/>
        <w:rPr>
          <w:sz w:val="16"/>
        </w:rPr>
      </w:pPr>
      <w:r w:rsidRPr="0028149C">
        <w:rPr>
          <w:w w:val="105"/>
          <w:sz w:val="16"/>
          <w:vertAlign w:val="superscript"/>
        </w:rPr>
        <w:t>1</w:t>
      </w:r>
      <w:r w:rsidRPr="0028149C">
        <w:rPr>
          <w:spacing w:val="5"/>
          <w:w w:val="105"/>
          <w:sz w:val="16"/>
        </w:rPr>
        <w:t xml:space="preserve"> </w:t>
      </w:r>
      <w:r w:rsidRPr="0028149C">
        <w:rPr>
          <w:w w:val="105"/>
          <w:sz w:val="16"/>
        </w:rPr>
        <w:t>Redovisad</w:t>
      </w:r>
      <w:r w:rsidRPr="0028149C">
        <w:rPr>
          <w:spacing w:val="3"/>
          <w:w w:val="105"/>
          <w:sz w:val="16"/>
        </w:rPr>
        <w:t xml:space="preserve"> </w:t>
      </w:r>
      <w:r w:rsidRPr="0028149C">
        <w:rPr>
          <w:w w:val="105"/>
          <w:sz w:val="16"/>
        </w:rPr>
        <w:t>grundlön</w:t>
      </w:r>
      <w:r w:rsidRPr="0028149C">
        <w:rPr>
          <w:spacing w:val="1"/>
          <w:w w:val="105"/>
          <w:sz w:val="16"/>
        </w:rPr>
        <w:t xml:space="preserve"> </w:t>
      </w:r>
      <w:r w:rsidRPr="0028149C">
        <w:rPr>
          <w:w w:val="105"/>
          <w:sz w:val="16"/>
        </w:rPr>
        <w:t>utgår</w:t>
      </w:r>
      <w:r w:rsidRPr="0028149C">
        <w:rPr>
          <w:spacing w:val="5"/>
          <w:w w:val="105"/>
          <w:sz w:val="16"/>
        </w:rPr>
        <w:t xml:space="preserve"> </w:t>
      </w:r>
      <w:r w:rsidRPr="0028149C">
        <w:rPr>
          <w:w w:val="105"/>
          <w:sz w:val="16"/>
        </w:rPr>
        <w:t>från</w:t>
      </w:r>
      <w:r w:rsidRPr="0028149C">
        <w:rPr>
          <w:spacing w:val="4"/>
          <w:w w:val="105"/>
          <w:sz w:val="16"/>
        </w:rPr>
        <w:t xml:space="preserve"> </w:t>
      </w:r>
      <w:r w:rsidRPr="0028149C">
        <w:rPr>
          <w:w w:val="105"/>
          <w:sz w:val="16"/>
        </w:rPr>
        <w:t>fast</w:t>
      </w:r>
      <w:r w:rsidRPr="0028149C">
        <w:rPr>
          <w:spacing w:val="3"/>
          <w:w w:val="105"/>
          <w:sz w:val="16"/>
        </w:rPr>
        <w:t xml:space="preserve"> </w:t>
      </w:r>
      <w:r w:rsidRPr="0028149C">
        <w:rPr>
          <w:w w:val="105"/>
          <w:sz w:val="16"/>
        </w:rPr>
        <w:t>månadslön</w:t>
      </w:r>
      <w:r w:rsidRPr="0028149C">
        <w:rPr>
          <w:spacing w:val="4"/>
          <w:w w:val="105"/>
          <w:sz w:val="16"/>
        </w:rPr>
        <w:t xml:space="preserve"> </w:t>
      </w:r>
      <w:r w:rsidRPr="0028149C">
        <w:rPr>
          <w:w w:val="105"/>
          <w:sz w:val="16"/>
        </w:rPr>
        <w:t>och</w:t>
      </w:r>
      <w:r w:rsidRPr="0028149C">
        <w:rPr>
          <w:spacing w:val="1"/>
          <w:w w:val="105"/>
          <w:sz w:val="16"/>
        </w:rPr>
        <w:t xml:space="preserve"> </w:t>
      </w:r>
      <w:r w:rsidRPr="0028149C">
        <w:rPr>
          <w:w w:val="105"/>
          <w:sz w:val="16"/>
        </w:rPr>
        <w:t>semestertillägg.</w:t>
      </w:r>
      <w:r w:rsidRPr="0028149C">
        <w:rPr>
          <w:spacing w:val="3"/>
          <w:w w:val="105"/>
          <w:sz w:val="16"/>
        </w:rPr>
        <w:t xml:space="preserve"> </w:t>
      </w:r>
      <w:r w:rsidRPr="0028149C">
        <w:rPr>
          <w:w w:val="105"/>
          <w:sz w:val="16"/>
        </w:rPr>
        <w:t>Exklusive eventuell</w:t>
      </w:r>
      <w:r w:rsidRPr="0028149C">
        <w:rPr>
          <w:spacing w:val="5"/>
          <w:w w:val="105"/>
          <w:sz w:val="16"/>
        </w:rPr>
        <w:t xml:space="preserve"> </w:t>
      </w:r>
      <w:r w:rsidRPr="0028149C">
        <w:rPr>
          <w:w w:val="105"/>
          <w:sz w:val="16"/>
        </w:rPr>
        <w:t>löneväxling.</w:t>
      </w:r>
    </w:p>
    <w:p w14:paraId="578FC9BB" w14:textId="529A3185" w:rsidR="00EB0341" w:rsidRPr="0028149C" w:rsidRDefault="00211C81">
      <w:pPr>
        <w:spacing w:before="2"/>
        <w:ind w:left="140"/>
        <w:jc w:val="both"/>
        <w:rPr>
          <w:sz w:val="16"/>
        </w:rPr>
      </w:pPr>
      <w:r w:rsidRPr="0028149C">
        <w:rPr>
          <w:w w:val="105"/>
          <w:sz w:val="16"/>
          <w:vertAlign w:val="superscript"/>
        </w:rPr>
        <w:t>2</w:t>
      </w:r>
      <w:r w:rsidRPr="0028149C">
        <w:rPr>
          <w:spacing w:val="2"/>
          <w:w w:val="105"/>
          <w:sz w:val="16"/>
        </w:rPr>
        <w:t xml:space="preserve"> </w:t>
      </w:r>
      <w:r w:rsidRPr="0028149C">
        <w:rPr>
          <w:w w:val="105"/>
          <w:sz w:val="16"/>
        </w:rPr>
        <w:t>Andra</w:t>
      </w:r>
      <w:r w:rsidRPr="0028149C">
        <w:rPr>
          <w:spacing w:val="1"/>
          <w:w w:val="105"/>
          <w:sz w:val="16"/>
        </w:rPr>
        <w:t xml:space="preserve"> </w:t>
      </w:r>
      <w:r w:rsidRPr="0028149C">
        <w:rPr>
          <w:w w:val="105"/>
          <w:sz w:val="16"/>
        </w:rPr>
        <w:t>förmåner</w:t>
      </w:r>
      <w:r w:rsidRPr="0028149C">
        <w:rPr>
          <w:spacing w:val="4"/>
          <w:w w:val="105"/>
          <w:sz w:val="16"/>
        </w:rPr>
        <w:t xml:space="preserve"> </w:t>
      </w:r>
      <w:r w:rsidRPr="0028149C">
        <w:rPr>
          <w:w w:val="105"/>
          <w:sz w:val="16"/>
        </w:rPr>
        <w:t>utgörs</w:t>
      </w:r>
      <w:r w:rsidRPr="0028149C">
        <w:rPr>
          <w:spacing w:val="3"/>
          <w:w w:val="105"/>
          <w:sz w:val="16"/>
        </w:rPr>
        <w:t xml:space="preserve"> </w:t>
      </w:r>
      <w:r w:rsidRPr="0028149C">
        <w:rPr>
          <w:w w:val="105"/>
          <w:sz w:val="16"/>
        </w:rPr>
        <w:t>främst</w:t>
      </w:r>
      <w:r w:rsidRPr="0028149C">
        <w:rPr>
          <w:spacing w:val="3"/>
          <w:w w:val="105"/>
          <w:sz w:val="16"/>
        </w:rPr>
        <w:t xml:space="preserve"> </w:t>
      </w:r>
      <w:r w:rsidRPr="0028149C">
        <w:rPr>
          <w:w w:val="105"/>
          <w:sz w:val="16"/>
        </w:rPr>
        <w:t>av</w:t>
      </w:r>
      <w:r w:rsidRPr="0028149C">
        <w:rPr>
          <w:spacing w:val="3"/>
          <w:w w:val="105"/>
          <w:sz w:val="16"/>
        </w:rPr>
        <w:t xml:space="preserve"> </w:t>
      </w:r>
      <w:r w:rsidRPr="0028149C">
        <w:rPr>
          <w:w w:val="105"/>
          <w:sz w:val="16"/>
        </w:rPr>
        <w:t>bilförmån,</w:t>
      </w:r>
      <w:r w:rsidRPr="0028149C">
        <w:rPr>
          <w:spacing w:val="2"/>
          <w:w w:val="105"/>
          <w:sz w:val="16"/>
        </w:rPr>
        <w:t xml:space="preserve"> </w:t>
      </w:r>
      <w:r w:rsidRPr="0028149C">
        <w:rPr>
          <w:w w:val="105"/>
          <w:sz w:val="16"/>
        </w:rPr>
        <w:t>drivmedelsförmån</w:t>
      </w:r>
      <w:r w:rsidR="00B333F4" w:rsidRPr="0028149C">
        <w:rPr>
          <w:w w:val="105"/>
          <w:sz w:val="16"/>
        </w:rPr>
        <w:t xml:space="preserve"> och</w:t>
      </w:r>
      <w:r w:rsidRPr="0028149C">
        <w:rPr>
          <w:spacing w:val="2"/>
          <w:w w:val="105"/>
          <w:sz w:val="16"/>
        </w:rPr>
        <w:t xml:space="preserve"> </w:t>
      </w:r>
      <w:r w:rsidRPr="0028149C">
        <w:rPr>
          <w:w w:val="105"/>
          <w:sz w:val="16"/>
        </w:rPr>
        <w:t>sjukvårdsförmån.</w:t>
      </w:r>
    </w:p>
    <w:p w14:paraId="6C66A38F" w14:textId="6834B0DD" w:rsidR="00EB0341" w:rsidRPr="0028149C" w:rsidRDefault="00B333F4">
      <w:pPr>
        <w:ind w:left="140"/>
        <w:jc w:val="both"/>
        <w:rPr>
          <w:sz w:val="16"/>
        </w:rPr>
      </w:pPr>
      <w:r w:rsidRPr="0028149C">
        <w:rPr>
          <w:spacing w:val="-1"/>
          <w:w w:val="110"/>
          <w:sz w:val="16"/>
          <w:vertAlign w:val="superscript"/>
        </w:rPr>
        <w:t>3</w:t>
      </w:r>
      <w:r w:rsidR="00211C81" w:rsidRPr="0028149C">
        <w:rPr>
          <w:spacing w:val="-11"/>
          <w:w w:val="110"/>
          <w:sz w:val="16"/>
        </w:rPr>
        <w:t xml:space="preserve"> </w:t>
      </w:r>
      <w:r w:rsidR="00211C81" w:rsidRPr="0028149C">
        <w:rPr>
          <w:spacing w:val="-1"/>
          <w:w w:val="110"/>
          <w:sz w:val="16"/>
        </w:rPr>
        <w:t>Avser</w:t>
      </w:r>
      <w:r w:rsidR="00211C81" w:rsidRPr="0028149C">
        <w:rPr>
          <w:spacing w:val="-11"/>
          <w:w w:val="110"/>
          <w:sz w:val="16"/>
        </w:rPr>
        <w:t xml:space="preserve"> </w:t>
      </w:r>
      <w:r w:rsidR="00211C81" w:rsidRPr="0028149C">
        <w:rPr>
          <w:spacing w:val="-1"/>
          <w:w w:val="110"/>
          <w:sz w:val="16"/>
        </w:rPr>
        <w:t>premiebestämd</w:t>
      </w:r>
      <w:r w:rsidR="00211C81" w:rsidRPr="0028149C">
        <w:rPr>
          <w:spacing w:val="-12"/>
          <w:w w:val="110"/>
          <w:sz w:val="16"/>
        </w:rPr>
        <w:t xml:space="preserve"> </w:t>
      </w:r>
      <w:r w:rsidR="00211C81" w:rsidRPr="0028149C">
        <w:rPr>
          <w:spacing w:val="-1"/>
          <w:w w:val="110"/>
          <w:sz w:val="16"/>
        </w:rPr>
        <w:t>pension.</w:t>
      </w:r>
    </w:p>
    <w:p w14:paraId="389D9B69" w14:textId="77777777" w:rsidR="00EB0341" w:rsidRPr="0028149C" w:rsidRDefault="00EB0341">
      <w:pPr>
        <w:jc w:val="both"/>
        <w:rPr>
          <w:sz w:val="16"/>
        </w:rPr>
        <w:sectPr w:rsidR="00EB0341" w:rsidRPr="0028149C">
          <w:pgSz w:w="11910" w:h="16840"/>
          <w:pgMar w:top="1340" w:right="980" w:bottom="280" w:left="1300" w:header="720" w:footer="720" w:gutter="0"/>
          <w:cols w:space="720"/>
        </w:sectPr>
      </w:pPr>
    </w:p>
    <w:p w14:paraId="633BE9D7" w14:textId="77777777" w:rsidR="00EB0341" w:rsidRPr="0028149C" w:rsidRDefault="00211C81" w:rsidP="00B333F4">
      <w:pPr>
        <w:pStyle w:val="BodyText"/>
        <w:spacing w:before="156"/>
        <w:ind w:firstLine="140"/>
        <w:jc w:val="both"/>
      </w:pPr>
      <w:r w:rsidRPr="0028149C">
        <w:rPr>
          <w:w w:val="105"/>
          <w:u w:val="single"/>
        </w:rPr>
        <w:lastRenderedPageBreak/>
        <w:t>Tillämpning</w:t>
      </w:r>
      <w:r w:rsidRPr="0028149C">
        <w:rPr>
          <w:spacing w:val="-8"/>
          <w:w w:val="105"/>
          <w:u w:val="single"/>
        </w:rPr>
        <w:t xml:space="preserve"> </w:t>
      </w:r>
      <w:r w:rsidRPr="0028149C">
        <w:rPr>
          <w:w w:val="105"/>
          <w:u w:val="single"/>
        </w:rPr>
        <w:t>av</w:t>
      </w:r>
      <w:r w:rsidRPr="0028149C">
        <w:rPr>
          <w:spacing w:val="-8"/>
          <w:w w:val="105"/>
          <w:u w:val="single"/>
        </w:rPr>
        <w:t xml:space="preserve"> </w:t>
      </w:r>
      <w:r w:rsidRPr="0028149C">
        <w:rPr>
          <w:w w:val="105"/>
          <w:u w:val="single"/>
        </w:rPr>
        <w:t>prestationskriterier</w:t>
      </w:r>
    </w:p>
    <w:p w14:paraId="0EFC5F52" w14:textId="4E92A154" w:rsidR="00B333F4" w:rsidRPr="0028149C" w:rsidRDefault="00211C81" w:rsidP="00B333F4">
      <w:pPr>
        <w:pStyle w:val="BodyText"/>
        <w:spacing w:before="178"/>
        <w:ind w:left="140" w:right="461"/>
        <w:jc w:val="both"/>
        <w:rPr>
          <w:w w:val="110"/>
        </w:rPr>
      </w:pPr>
      <w:r w:rsidRPr="0028149C">
        <w:rPr>
          <w:w w:val="110"/>
        </w:rPr>
        <w:t>Prestationskriterierna för den verkställande direktörens rörliga ersättning har valts för att</w:t>
      </w:r>
      <w:r w:rsidRPr="0028149C">
        <w:rPr>
          <w:spacing w:val="1"/>
          <w:w w:val="110"/>
        </w:rPr>
        <w:t xml:space="preserve"> </w:t>
      </w:r>
      <w:r w:rsidRPr="0028149C">
        <w:rPr>
          <w:w w:val="110"/>
        </w:rPr>
        <w:t>förverkliga</w:t>
      </w:r>
      <w:r w:rsidRPr="0028149C">
        <w:rPr>
          <w:spacing w:val="-8"/>
          <w:w w:val="110"/>
        </w:rPr>
        <w:t xml:space="preserve"> </w:t>
      </w:r>
      <w:r w:rsidRPr="0028149C">
        <w:rPr>
          <w:w w:val="110"/>
        </w:rPr>
        <w:t>bolagets</w:t>
      </w:r>
      <w:r w:rsidRPr="0028149C">
        <w:rPr>
          <w:spacing w:val="-6"/>
          <w:w w:val="110"/>
        </w:rPr>
        <w:t xml:space="preserve"> </w:t>
      </w:r>
      <w:r w:rsidRPr="0028149C">
        <w:rPr>
          <w:w w:val="110"/>
        </w:rPr>
        <w:t>strategi</w:t>
      </w:r>
      <w:r w:rsidRPr="0028149C">
        <w:rPr>
          <w:spacing w:val="-7"/>
          <w:w w:val="110"/>
        </w:rPr>
        <w:t xml:space="preserve"> </w:t>
      </w:r>
      <w:r w:rsidRPr="0028149C">
        <w:rPr>
          <w:w w:val="110"/>
        </w:rPr>
        <w:t>och</w:t>
      </w:r>
      <w:r w:rsidRPr="0028149C">
        <w:rPr>
          <w:spacing w:val="-7"/>
          <w:w w:val="110"/>
        </w:rPr>
        <w:t xml:space="preserve"> </w:t>
      </w:r>
      <w:r w:rsidRPr="0028149C">
        <w:rPr>
          <w:w w:val="110"/>
        </w:rPr>
        <w:t>för</w:t>
      </w:r>
      <w:r w:rsidRPr="0028149C">
        <w:rPr>
          <w:spacing w:val="-7"/>
          <w:w w:val="110"/>
        </w:rPr>
        <w:t xml:space="preserve"> </w:t>
      </w:r>
      <w:r w:rsidRPr="0028149C">
        <w:rPr>
          <w:w w:val="110"/>
        </w:rPr>
        <w:t>att</w:t>
      </w:r>
      <w:r w:rsidRPr="0028149C">
        <w:rPr>
          <w:spacing w:val="-7"/>
          <w:w w:val="110"/>
        </w:rPr>
        <w:t xml:space="preserve"> </w:t>
      </w:r>
      <w:r w:rsidRPr="0028149C">
        <w:rPr>
          <w:w w:val="110"/>
        </w:rPr>
        <w:t>uppmuntra</w:t>
      </w:r>
      <w:r w:rsidRPr="0028149C">
        <w:rPr>
          <w:spacing w:val="-7"/>
          <w:w w:val="110"/>
        </w:rPr>
        <w:t xml:space="preserve"> </w:t>
      </w:r>
      <w:r w:rsidRPr="0028149C">
        <w:rPr>
          <w:w w:val="110"/>
        </w:rPr>
        <w:t>agerande</w:t>
      </w:r>
      <w:r w:rsidRPr="0028149C">
        <w:rPr>
          <w:spacing w:val="-8"/>
          <w:w w:val="110"/>
        </w:rPr>
        <w:t xml:space="preserve"> </w:t>
      </w:r>
      <w:r w:rsidRPr="0028149C">
        <w:rPr>
          <w:w w:val="110"/>
        </w:rPr>
        <w:t>som</w:t>
      </w:r>
      <w:r w:rsidRPr="0028149C">
        <w:rPr>
          <w:spacing w:val="-8"/>
          <w:w w:val="110"/>
        </w:rPr>
        <w:t xml:space="preserve"> </w:t>
      </w:r>
      <w:r w:rsidRPr="0028149C">
        <w:rPr>
          <w:w w:val="110"/>
        </w:rPr>
        <w:t>ligger</w:t>
      </w:r>
      <w:r w:rsidRPr="0028149C">
        <w:rPr>
          <w:spacing w:val="-7"/>
          <w:w w:val="110"/>
        </w:rPr>
        <w:t xml:space="preserve"> </w:t>
      </w:r>
      <w:r w:rsidRPr="0028149C">
        <w:rPr>
          <w:w w:val="110"/>
        </w:rPr>
        <w:t>i</w:t>
      </w:r>
      <w:r w:rsidRPr="0028149C">
        <w:rPr>
          <w:spacing w:val="-5"/>
          <w:w w:val="110"/>
        </w:rPr>
        <w:t xml:space="preserve"> </w:t>
      </w:r>
      <w:r w:rsidRPr="0028149C">
        <w:rPr>
          <w:w w:val="110"/>
        </w:rPr>
        <w:t>bolagets</w:t>
      </w:r>
      <w:r w:rsidRPr="0028149C">
        <w:rPr>
          <w:spacing w:val="-8"/>
          <w:w w:val="110"/>
        </w:rPr>
        <w:t xml:space="preserve"> </w:t>
      </w:r>
      <w:r w:rsidRPr="0028149C">
        <w:rPr>
          <w:w w:val="110"/>
        </w:rPr>
        <w:t>långsiktiga</w:t>
      </w:r>
      <w:r w:rsidRPr="0028149C">
        <w:rPr>
          <w:spacing w:val="-67"/>
          <w:w w:val="110"/>
        </w:rPr>
        <w:t xml:space="preserve"> </w:t>
      </w:r>
      <w:r w:rsidRPr="0028149C">
        <w:rPr>
          <w:w w:val="105"/>
        </w:rPr>
        <w:t>intresse, inklusive dess hållbarhet. Vid valet av prestationskriterier har de strategiska målen samt</w:t>
      </w:r>
      <w:r w:rsidRPr="0028149C">
        <w:rPr>
          <w:spacing w:val="-63"/>
          <w:w w:val="105"/>
        </w:rPr>
        <w:t xml:space="preserve"> </w:t>
      </w:r>
      <w:r w:rsidRPr="0028149C">
        <w:rPr>
          <w:w w:val="110"/>
        </w:rPr>
        <w:t>kort- och långsiktiga affärsprioriteringar för år 202</w:t>
      </w:r>
      <w:r w:rsidR="00067B1D">
        <w:rPr>
          <w:w w:val="110"/>
        </w:rPr>
        <w:t>2</w:t>
      </w:r>
      <w:r w:rsidRPr="0028149C">
        <w:rPr>
          <w:w w:val="110"/>
        </w:rPr>
        <w:t xml:space="preserve"> beaktats. Kriterierna är huvudsakligen</w:t>
      </w:r>
      <w:r w:rsidRPr="0028149C">
        <w:rPr>
          <w:spacing w:val="1"/>
          <w:w w:val="110"/>
        </w:rPr>
        <w:t xml:space="preserve"> </w:t>
      </w:r>
      <w:r w:rsidRPr="0028149C">
        <w:rPr>
          <w:w w:val="110"/>
        </w:rPr>
        <w:t>baserade</w:t>
      </w:r>
      <w:r w:rsidRPr="0028149C">
        <w:rPr>
          <w:spacing w:val="-12"/>
          <w:w w:val="110"/>
        </w:rPr>
        <w:t xml:space="preserve"> </w:t>
      </w:r>
      <w:r w:rsidRPr="0028149C">
        <w:rPr>
          <w:w w:val="110"/>
        </w:rPr>
        <w:t>på</w:t>
      </w:r>
      <w:r w:rsidRPr="0028149C">
        <w:rPr>
          <w:spacing w:val="-12"/>
          <w:w w:val="110"/>
        </w:rPr>
        <w:t xml:space="preserve"> </w:t>
      </w:r>
      <w:r w:rsidRPr="0028149C">
        <w:rPr>
          <w:w w:val="110"/>
        </w:rPr>
        <w:t>resultat</w:t>
      </w:r>
      <w:r w:rsidR="00B333F4" w:rsidRPr="0028149C">
        <w:rPr>
          <w:spacing w:val="-14"/>
          <w:w w:val="110"/>
        </w:rPr>
        <w:t xml:space="preserve"> </w:t>
      </w:r>
      <w:r w:rsidRPr="0028149C">
        <w:rPr>
          <w:w w:val="110"/>
        </w:rPr>
        <w:t>och</w:t>
      </w:r>
      <w:r w:rsidRPr="0028149C">
        <w:rPr>
          <w:spacing w:val="-11"/>
          <w:w w:val="110"/>
        </w:rPr>
        <w:t xml:space="preserve"> </w:t>
      </w:r>
      <w:r w:rsidRPr="0028149C">
        <w:rPr>
          <w:w w:val="110"/>
        </w:rPr>
        <w:t>individuella</w:t>
      </w:r>
      <w:r w:rsidRPr="0028149C">
        <w:rPr>
          <w:spacing w:val="-12"/>
          <w:w w:val="110"/>
        </w:rPr>
        <w:t xml:space="preserve"> </w:t>
      </w:r>
      <w:r w:rsidRPr="0028149C">
        <w:rPr>
          <w:w w:val="110"/>
        </w:rPr>
        <w:t>mål.</w:t>
      </w:r>
      <w:r w:rsidRPr="0028149C">
        <w:rPr>
          <w:spacing w:val="-13"/>
          <w:w w:val="110"/>
        </w:rPr>
        <w:t xml:space="preserve"> </w:t>
      </w:r>
      <w:r w:rsidRPr="0028149C">
        <w:rPr>
          <w:w w:val="110"/>
        </w:rPr>
        <w:t>Uppfyllelse</w:t>
      </w:r>
      <w:r w:rsidRPr="0028149C">
        <w:rPr>
          <w:spacing w:val="-13"/>
          <w:w w:val="110"/>
        </w:rPr>
        <w:t xml:space="preserve"> </w:t>
      </w:r>
      <w:r w:rsidRPr="0028149C">
        <w:rPr>
          <w:w w:val="110"/>
        </w:rPr>
        <w:t>av</w:t>
      </w:r>
      <w:r w:rsidRPr="0028149C">
        <w:rPr>
          <w:spacing w:val="-13"/>
          <w:w w:val="110"/>
        </w:rPr>
        <w:t xml:space="preserve"> </w:t>
      </w:r>
      <w:r w:rsidRPr="0028149C">
        <w:rPr>
          <w:w w:val="110"/>
        </w:rPr>
        <w:t>kriterier</w:t>
      </w:r>
      <w:r w:rsidRPr="0028149C">
        <w:rPr>
          <w:spacing w:val="-11"/>
          <w:w w:val="110"/>
        </w:rPr>
        <w:t xml:space="preserve"> </w:t>
      </w:r>
      <w:r w:rsidRPr="0028149C">
        <w:rPr>
          <w:w w:val="110"/>
        </w:rPr>
        <w:t>för</w:t>
      </w:r>
      <w:r w:rsidRPr="0028149C">
        <w:rPr>
          <w:spacing w:val="-66"/>
          <w:w w:val="110"/>
        </w:rPr>
        <w:t xml:space="preserve"> </w:t>
      </w:r>
      <w:r w:rsidRPr="0028149C">
        <w:rPr>
          <w:spacing w:val="-1"/>
          <w:w w:val="110"/>
        </w:rPr>
        <w:t>utbetalning</w:t>
      </w:r>
      <w:r w:rsidRPr="0028149C">
        <w:rPr>
          <w:spacing w:val="-17"/>
          <w:w w:val="110"/>
        </w:rPr>
        <w:t xml:space="preserve"> </w:t>
      </w:r>
      <w:r w:rsidRPr="0028149C">
        <w:rPr>
          <w:w w:val="110"/>
        </w:rPr>
        <w:t>av</w:t>
      </w:r>
      <w:r w:rsidRPr="0028149C">
        <w:rPr>
          <w:spacing w:val="-16"/>
          <w:w w:val="110"/>
        </w:rPr>
        <w:t xml:space="preserve"> </w:t>
      </w:r>
      <w:r w:rsidRPr="0028149C">
        <w:rPr>
          <w:w w:val="110"/>
        </w:rPr>
        <w:t>rörlig</w:t>
      </w:r>
      <w:r w:rsidRPr="0028149C">
        <w:rPr>
          <w:spacing w:val="-16"/>
          <w:w w:val="110"/>
        </w:rPr>
        <w:t xml:space="preserve"> </w:t>
      </w:r>
      <w:r w:rsidRPr="0028149C">
        <w:rPr>
          <w:w w:val="110"/>
        </w:rPr>
        <w:t>kontantersättning</w:t>
      </w:r>
      <w:r w:rsidRPr="0028149C">
        <w:rPr>
          <w:spacing w:val="-16"/>
          <w:w w:val="110"/>
        </w:rPr>
        <w:t xml:space="preserve"> </w:t>
      </w:r>
      <w:r w:rsidRPr="0028149C">
        <w:rPr>
          <w:w w:val="110"/>
        </w:rPr>
        <w:t>ska</w:t>
      </w:r>
      <w:r w:rsidRPr="0028149C">
        <w:rPr>
          <w:spacing w:val="-17"/>
          <w:w w:val="110"/>
        </w:rPr>
        <w:t xml:space="preserve"> </w:t>
      </w:r>
      <w:r w:rsidRPr="0028149C">
        <w:rPr>
          <w:w w:val="110"/>
        </w:rPr>
        <w:t>kunna</w:t>
      </w:r>
      <w:r w:rsidRPr="0028149C">
        <w:rPr>
          <w:spacing w:val="-16"/>
          <w:w w:val="110"/>
        </w:rPr>
        <w:t xml:space="preserve"> </w:t>
      </w:r>
      <w:r w:rsidRPr="0028149C">
        <w:rPr>
          <w:w w:val="110"/>
        </w:rPr>
        <w:t>mätas</w:t>
      </w:r>
      <w:r w:rsidRPr="0028149C">
        <w:rPr>
          <w:spacing w:val="-16"/>
          <w:w w:val="110"/>
        </w:rPr>
        <w:t xml:space="preserve"> </w:t>
      </w:r>
      <w:r w:rsidRPr="0028149C">
        <w:rPr>
          <w:w w:val="110"/>
        </w:rPr>
        <w:t>under</w:t>
      </w:r>
      <w:r w:rsidRPr="0028149C">
        <w:rPr>
          <w:spacing w:val="-17"/>
          <w:w w:val="110"/>
        </w:rPr>
        <w:t xml:space="preserve"> </w:t>
      </w:r>
      <w:r w:rsidRPr="0028149C">
        <w:rPr>
          <w:w w:val="110"/>
        </w:rPr>
        <w:t>en</w:t>
      </w:r>
      <w:r w:rsidRPr="0028149C">
        <w:rPr>
          <w:spacing w:val="-16"/>
          <w:w w:val="110"/>
        </w:rPr>
        <w:t xml:space="preserve"> </w:t>
      </w:r>
      <w:r w:rsidRPr="0028149C">
        <w:rPr>
          <w:w w:val="110"/>
        </w:rPr>
        <w:t>period</w:t>
      </w:r>
      <w:r w:rsidRPr="0028149C">
        <w:rPr>
          <w:spacing w:val="-16"/>
          <w:w w:val="110"/>
        </w:rPr>
        <w:t xml:space="preserve"> </w:t>
      </w:r>
      <w:r w:rsidRPr="0028149C">
        <w:rPr>
          <w:w w:val="110"/>
        </w:rPr>
        <w:t>om</w:t>
      </w:r>
      <w:r w:rsidRPr="0028149C">
        <w:rPr>
          <w:spacing w:val="-17"/>
          <w:w w:val="110"/>
        </w:rPr>
        <w:t xml:space="preserve"> </w:t>
      </w:r>
      <w:r w:rsidRPr="0028149C">
        <w:rPr>
          <w:w w:val="110"/>
        </w:rPr>
        <w:t>ett</w:t>
      </w:r>
      <w:r w:rsidRPr="0028149C">
        <w:rPr>
          <w:spacing w:val="-17"/>
          <w:w w:val="110"/>
        </w:rPr>
        <w:t xml:space="preserve"> </w:t>
      </w:r>
      <w:r w:rsidRPr="0028149C">
        <w:rPr>
          <w:w w:val="110"/>
        </w:rPr>
        <w:t>år.</w:t>
      </w:r>
      <w:r w:rsidRPr="0028149C">
        <w:rPr>
          <w:spacing w:val="-17"/>
          <w:w w:val="110"/>
        </w:rPr>
        <w:t xml:space="preserve"> </w:t>
      </w:r>
      <w:r w:rsidRPr="0028149C">
        <w:rPr>
          <w:w w:val="110"/>
        </w:rPr>
        <w:t>Den</w:t>
      </w:r>
      <w:r w:rsidRPr="0028149C">
        <w:rPr>
          <w:spacing w:val="-16"/>
          <w:w w:val="110"/>
        </w:rPr>
        <w:t xml:space="preserve"> </w:t>
      </w:r>
      <w:r w:rsidRPr="0028149C">
        <w:rPr>
          <w:w w:val="110"/>
        </w:rPr>
        <w:t>rörliga</w:t>
      </w:r>
      <w:r w:rsidRPr="0028149C">
        <w:rPr>
          <w:spacing w:val="-66"/>
          <w:w w:val="110"/>
        </w:rPr>
        <w:t xml:space="preserve"> </w:t>
      </w:r>
      <w:r w:rsidRPr="0028149C">
        <w:rPr>
          <w:w w:val="110"/>
        </w:rPr>
        <w:t>kontantersättningen</w:t>
      </w:r>
      <w:r w:rsidRPr="0028149C">
        <w:rPr>
          <w:spacing w:val="-5"/>
          <w:w w:val="110"/>
        </w:rPr>
        <w:t xml:space="preserve"> </w:t>
      </w:r>
      <w:r w:rsidRPr="0028149C">
        <w:rPr>
          <w:w w:val="110"/>
        </w:rPr>
        <w:t>till</w:t>
      </w:r>
      <w:r w:rsidRPr="0028149C">
        <w:rPr>
          <w:spacing w:val="-4"/>
          <w:w w:val="110"/>
        </w:rPr>
        <w:t xml:space="preserve"> </w:t>
      </w:r>
      <w:r w:rsidRPr="0028149C">
        <w:rPr>
          <w:w w:val="110"/>
        </w:rPr>
        <w:t>verkställande</w:t>
      </w:r>
      <w:r w:rsidRPr="0028149C">
        <w:rPr>
          <w:spacing w:val="-5"/>
          <w:w w:val="110"/>
        </w:rPr>
        <w:t xml:space="preserve"> </w:t>
      </w:r>
      <w:r w:rsidRPr="0028149C">
        <w:rPr>
          <w:w w:val="110"/>
        </w:rPr>
        <w:t>direktören</w:t>
      </w:r>
      <w:r w:rsidRPr="0028149C">
        <w:rPr>
          <w:spacing w:val="-5"/>
          <w:w w:val="110"/>
        </w:rPr>
        <w:t xml:space="preserve"> </w:t>
      </w:r>
      <w:r w:rsidRPr="0028149C">
        <w:rPr>
          <w:w w:val="110"/>
        </w:rPr>
        <w:t>får</w:t>
      </w:r>
      <w:r w:rsidRPr="0028149C">
        <w:rPr>
          <w:spacing w:val="-4"/>
          <w:w w:val="110"/>
        </w:rPr>
        <w:t xml:space="preserve"> </w:t>
      </w:r>
      <w:r w:rsidRPr="0028149C">
        <w:rPr>
          <w:w w:val="110"/>
        </w:rPr>
        <w:t>uppgå</w:t>
      </w:r>
      <w:r w:rsidRPr="0028149C">
        <w:rPr>
          <w:spacing w:val="-4"/>
          <w:w w:val="110"/>
        </w:rPr>
        <w:t xml:space="preserve"> </w:t>
      </w:r>
      <w:r w:rsidRPr="0028149C">
        <w:rPr>
          <w:w w:val="110"/>
        </w:rPr>
        <w:t>till</w:t>
      </w:r>
      <w:r w:rsidRPr="0028149C">
        <w:rPr>
          <w:spacing w:val="-4"/>
          <w:w w:val="110"/>
        </w:rPr>
        <w:t xml:space="preserve"> </w:t>
      </w:r>
      <w:r w:rsidRPr="0028149C">
        <w:rPr>
          <w:w w:val="110"/>
        </w:rPr>
        <w:t>högst</w:t>
      </w:r>
      <w:r w:rsidRPr="0028149C">
        <w:rPr>
          <w:spacing w:val="-6"/>
          <w:w w:val="110"/>
        </w:rPr>
        <w:t xml:space="preserve"> </w:t>
      </w:r>
      <w:r w:rsidRPr="0028149C">
        <w:rPr>
          <w:w w:val="110"/>
        </w:rPr>
        <w:t>1</w:t>
      </w:r>
      <w:r w:rsidR="00067B1D">
        <w:rPr>
          <w:w w:val="110"/>
        </w:rPr>
        <w:t>0</w:t>
      </w:r>
      <w:r w:rsidR="00B333F4" w:rsidRPr="0028149C">
        <w:rPr>
          <w:w w:val="110"/>
        </w:rPr>
        <w:t>0</w:t>
      </w:r>
      <w:r w:rsidRPr="0028149C">
        <w:rPr>
          <w:spacing w:val="-5"/>
          <w:w w:val="110"/>
        </w:rPr>
        <w:t xml:space="preserve"> </w:t>
      </w:r>
      <w:r w:rsidRPr="0028149C">
        <w:rPr>
          <w:w w:val="110"/>
        </w:rPr>
        <w:t>procent</w:t>
      </w:r>
      <w:r w:rsidRPr="0028149C">
        <w:rPr>
          <w:spacing w:val="-5"/>
          <w:w w:val="110"/>
        </w:rPr>
        <w:t xml:space="preserve"> </w:t>
      </w:r>
      <w:r w:rsidRPr="0028149C">
        <w:rPr>
          <w:w w:val="110"/>
        </w:rPr>
        <w:t>av</w:t>
      </w:r>
      <w:r w:rsidRPr="0028149C">
        <w:rPr>
          <w:spacing w:val="-5"/>
          <w:w w:val="110"/>
        </w:rPr>
        <w:t xml:space="preserve"> </w:t>
      </w:r>
      <w:r w:rsidRPr="0028149C">
        <w:rPr>
          <w:w w:val="110"/>
        </w:rPr>
        <w:t>den</w:t>
      </w:r>
      <w:r w:rsidR="00B333F4" w:rsidRPr="0028149C">
        <w:rPr>
          <w:spacing w:val="-4"/>
          <w:w w:val="110"/>
        </w:rPr>
        <w:t xml:space="preserve"> fasta </w:t>
      </w:r>
      <w:r w:rsidRPr="0028149C">
        <w:rPr>
          <w:w w:val="110"/>
        </w:rPr>
        <w:t>årliga</w:t>
      </w:r>
      <w:r w:rsidRPr="0028149C">
        <w:rPr>
          <w:spacing w:val="-14"/>
          <w:w w:val="110"/>
        </w:rPr>
        <w:t xml:space="preserve"> </w:t>
      </w:r>
      <w:r w:rsidRPr="0028149C">
        <w:rPr>
          <w:w w:val="110"/>
        </w:rPr>
        <w:t>kontantlönen.</w:t>
      </w:r>
    </w:p>
    <w:p w14:paraId="238919C5" w14:textId="77777777" w:rsidR="00B333F4" w:rsidRPr="0028149C" w:rsidRDefault="00B333F4" w:rsidP="00B333F4">
      <w:pPr>
        <w:pStyle w:val="BodyText"/>
        <w:spacing w:before="178"/>
        <w:ind w:left="140" w:right="461"/>
        <w:jc w:val="both"/>
        <w:rPr>
          <w:w w:val="110"/>
        </w:rPr>
      </w:pPr>
    </w:p>
    <w:p w14:paraId="5DAE57EF" w14:textId="77777777" w:rsidR="00B333F4" w:rsidRPr="0028149C" w:rsidRDefault="00B333F4" w:rsidP="00B333F4">
      <w:pPr>
        <w:pStyle w:val="Heading1"/>
        <w:ind w:left="0"/>
        <w:jc w:val="both"/>
        <w:rPr>
          <w:u w:val="none"/>
        </w:rPr>
      </w:pPr>
      <w:r w:rsidRPr="0028149C">
        <w:rPr>
          <w:w w:val="105"/>
        </w:rPr>
        <w:t>Jämförande</w:t>
      </w:r>
      <w:r w:rsidRPr="0028149C">
        <w:rPr>
          <w:spacing w:val="-17"/>
          <w:w w:val="105"/>
        </w:rPr>
        <w:t xml:space="preserve"> </w:t>
      </w:r>
      <w:r w:rsidRPr="0028149C">
        <w:rPr>
          <w:w w:val="105"/>
        </w:rPr>
        <w:t>information</w:t>
      </w:r>
      <w:r w:rsidRPr="0028149C">
        <w:rPr>
          <w:spacing w:val="-16"/>
          <w:w w:val="105"/>
        </w:rPr>
        <w:t xml:space="preserve"> </w:t>
      </w:r>
      <w:r w:rsidRPr="0028149C">
        <w:rPr>
          <w:w w:val="105"/>
        </w:rPr>
        <w:t>avseende</w:t>
      </w:r>
      <w:r w:rsidRPr="0028149C">
        <w:rPr>
          <w:spacing w:val="-17"/>
          <w:w w:val="105"/>
        </w:rPr>
        <w:t xml:space="preserve"> </w:t>
      </w:r>
      <w:r w:rsidRPr="0028149C">
        <w:rPr>
          <w:w w:val="105"/>
        </w:rPr>
        <w:t>förändringar</w:t>
      </w:r>
      <w:r w:rsidRPr="0028149C">
        <w:rPr>
          <w:spacing w:val="-12"/>
          <w:w w:val="105"/>
        </w:rPr>
        <w:t xml:space="preserve"> </w:t>
      </w:r>
      <w:r w:rsidRPr="0028149C">
        <w:rPr>
          <w:w w:val="105"/>
        </w:rPr>
        <w:t>i</w:t>
      </w:r>
      <w:r w:rsidRPr="0028149C">
        <w:rPr>
          <w:spacing w:val="-14"/>
          <w:w w:val="105"/>
        </w:rPr>
        <w:t xml:space="preserve"> </w:t>
      </w:r>
      <w:r w:rsidRPr="0028149C">
        <w:rPr>
          <w:w w:val="105"/>
        </w:rPr>
        <w:t>ersättning</w:t>
      </w:r>
      <w:r w:rsidRPr="0028149C">
        <w:rPr>
          <w:spacing w:val="-19"/>
          <w:w w:val="105"/>
        </w:rPr>
        <w:t xml:space="preserve"> </w:t>
      </w:r>
      <w:r w:rsidRPr="0028149C">
        <w:rPr>
          <w:w w:val="105"/>
        </w:rPr>
        <w:t>och</w:t>
      </w:r>
      <w:r w:rsidRPr="0028149C">
        <w:rPr>
          <w:spacing w:val="-15"/>
          <w:w w:val="105"/>
        </w:rPr>
        <w:t xml:space="preserve"> </w:t>
      </w:r>
      <w:r w:rsidRPr="0028149C">
        <w:rPr>
          <w:w w:val="105"/>
        </w:rPr>
        <w:t>bolagets</w:t>
      </w:r>
      <w:r w:rsidRPr="0028149C">
        <w:rPr>
          <w:spacing w:val="-13"/>
          <w:w w:val="105"/>
        </w:rPr>
        <w:t xml:space="preserve"> </w:t>
      </w:r>
      <w:r w:rsidRPr="0028149C">
        <w:rPr>
          <w:w w:val="105"/>
        </w:rPr>
        <w:t>resultat</w:t>
      </w:r>
    </w:p>
    <w:p w14:paraId="0470539B" w14:textId="77777777" w:rsidR="00B333F4" w:rsidRPr="0028149C" w:rsidRDefault="00B333F4" w:rsidP="00B333F4">
      <w:pPr>
        <w:pStyle w:val="BodyText"/>
      </w:pPr>
    </w:p>
    <w:p w14:paraId="64440460" w14:textId="77777777" w:rsidR="00B333F4" w:rsidRPr="0028149C" w:rsidRDefault="00B333F4" w:rsidP="00B333F4">
      <w:pPr>
        <w:pStyle w:val="BodyText"/>
        <w:spacing w:before="2"/>
        <w:rPr>
          <w:sz w:val="26"/>
        </w:rPr>
      </w:pPr>
    </w:p>
    <w:p w14:paraId="2068B104" w14:textId="391A3DD5" w:rsidR="00B333F4" w:rsidRPr="0028149C" w:rsidRDefault="00B333F4" w:rsidP="00B333F4">
      <w:pPr>
        <w:pStyle w:val="BodyText"/>
        <w:spacing w:before="84" w:line="254" w:lineRule="auto"/>
        <w:ind w:left="140" w:right="453"/>
        <w:jc w:val="both"/>
      </w:pPr>
      <w:r w:rsidRPr="0028149C">
        <w:rPr>
          <w:bCs/>
          <w:w w:val="105"/>
          <w:sz w:val="22"/>
        </w:rPr>
        <w:t>Ta</w:t>
      </w:r>
      <w:r w:rsidRPr="0028149C">
        <w:rPr>
          <w:bCs/>
          <w:w w:val="105"/>
        </w:rPr>
        <w:t xml:space="preserve">bell </w:t>
      </w:r>
      <w:r w:rsidR="00C973C9" w:rsidRPr="0028149C">
        <w:rPr>
          <w:bCs/>
          <w:w w:val="105"/>
        </w:rPr>
        <w:t>2</w:t>
      </w:r>
      <w:r w:rsidRPr="0028149C">
        <w:rPr>
          <w:bCs/>
          <w:w w:val="105"/>
        </w:rPr>
        <w:t xml:space="preserve"> – Förändringar</w:t>
      </w:r>
      <w:r w:rsidRPr="0028149C">
        <w:rPr>
          <w:w w:val="105"/>
        </w:rPr>
        <w:t xml:space="preserve"> i ersättning och bolagets resultat under de senaste fem rapporterade</w:t>
      </w:r>
      <w:r w:rsidRPr="0028149C">
        <w:rPr>
          <w:spacing w:val="1"/>
          <w:w w:val="105"/>
        </w:rPr>
        <w:t xml:space="preserve"> </w:t>
      </w:r>
      <w:r w:rsidRPr="0028149C">
        <w:rPr>
          <w:w w:val="105"/>
        </w:rPr>
        <w:t>räkenskapsåren</w:t>
      </w:r>
      <w:r w:rsidRPr="0028149C">
        <w:rPr>
          <w:spacing w:val="43"/>
          <w:w w:val="105"/>
        </w:rPr>
        <w:t xml:space="preserve"> </w:t>
      </w:r>
      <w:r w:rsidRPr="0028149C">
        <w:rPr>
          <w:w w:val="105"/>
        </w:rPr>
        <w:t>(TSEK)</w:t>
      </w:r>
    </w:p>
    <w:p w14:paraId="6B5BADA2" w14:textId="77777777" w:rsidR="00B333F4" w:rsidRPr="0028149C" w:rsidRDefault="00B333F4" w:rsidP="00B333F4">
      <w:pPr>
        <w:pStyle w:val="BodyText"/>
        <w:spacing w:before="4"/>
        <w:rPr>
          <w:sz w:val="1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992"/>
        <w:gridCol w:w="851"/>
        <w:gridCol w:w="992"/>
        <w:gridCol w:w="850"/>
        <w:gridCol w:w="851"/>
        <w:gridCol w:w="851"/>
      </w:tblGrid>
      <w:tr w:rsidR="00A352DA" w:rsidRPr="0028149C" w14:paraId="6F30A4E0" w14:textId="32F4DA70" w:rsidTr="00A352DA">
        <w:trPr>
          <w:trHeight w:val="625"/>
        </w:trPr>
        <w:tc>
          <w:tcPr>
            <w:tcW w:w="3536" w:type="dxa"/>
            <w:shd w:val="clear" w:color="auto" w:fill="0057A6"/>
          </w:tcPr>
          <w:p w14:paraId="37210F1F" w14:textId="77777777" w:rsidR="00A352DA" w:rsidRPr="00211C81" w:rsidRDefault="00A352DA" w:rsidP="008D66EC">
            <w:pPr>
              <w:pStyle w:val="TableParagraph"/>
              <w:spacing w:before="6"/>
              <w:jc w:val="left"/>
              <w:rPr>
                <w:color w:val="FFFFFF" w:themeColor="background1"/>
                <w:sz w:val="17"/>
              </w:rPr>
            </w:pPr>
          </w:p>
          <w:p w14:paraId="0A4DE810" w14:textId="140D2313" w:rsidR="00A352DA" w:rsidRPr="00211C81" w:rsidRDefault="00A352DA" w:rsidP="008D66EC">
            <w:pPr>
              <w:pStyle w:val="TableParagraph"/>
              <w:spacing w:before="0"/>
              <w:ind w:left="107"/>
              <w:jc w:val="left"/>
              <w:rPr>
                <w:color w:val="FFFFFF" w:themeColor="background1"/>
                <w:sz w:val="16"/>
              </w:rPr>
            </w:pPr>
            <w:r w:rsidRPr="00211C81">
              <w:rPr>
                <w:color w:val="FFFFFF" w:themeColor="background1"/>
                <w:w w:val="105"/>
                <w:sz w:val="16"/>
              </w:rPr>
              <w:t>Årlig förändring</w:t>
            </w:r>
            <w:r>
              <w:rPr>
                <w:color w:val="FFFFFF" w:themeColor="background1"/>
                <w:w w:val="105"/>
                <w:sz w:val="16"/>
              </w:rPr>
              <w:t xml:space="preserve"> %</w:t>
            </w:r>
          </w:p>
        </w:tc>
        <w:tc>
          <w:tcPr>
            <w:tcW w:w="992" w:type="dxa"/>
            <w:shd w:val="clear" w:color="auto" w:fill="0057A6"/>
          </w:tcPr>
          <w:p w14:paraId="3A1F9783" w14:textId="77777777" w:rsidR="00A352DA" w:rsidRPr="00211C81" w:rsidRDefault="00A352DA" w:rsidP="008D66EC">
            <w:pPr>
              <w:pStyle w:val="TableParagraph"/>
              <w:spacing w:before="113"/>
              <w:ind w:left="121" w:right="118"/>
              <w:rPr>
                <w:color w:val="FFFFFF" w:themeColor="background1"/>
                <w:sz w:val="16"/>
              </w:rPr>
            </w:pPr>
            <w:r w:rsidRPr="00211C81">
              <w:rPr>
                <w:color w:val="FFFFFF" w:themeColor="background1"/>
                <w:w w:val="105"/>
                <w:sz w:val="16"/>
              </w:rPr>
              <w:t>2018</w:t>
            </w:r>
            <w:r w:rsidRPr="00211C81">
              <w:rPr>
                <w:color w:val="FFFFFF" w:themeColor="background1"/>
                <w:spacing w:val="-8"/>
                <w:w w:val="105"/>
                <w:sz w:val="16"/>
              </w:rPr>
              <w:t xml:space="preserve"> </w:t>
            </w:r>
            <w:r w:rsidRPr="00211C81">
              <w:rPr>
                <w:color w:val="FFFFFF" w:themeColor="background1"/>
                <w:w w:val="105"/>
                <w:sz w:val="16"/>
              </w:rPr>
              <w:t>jft</w:t>
            </w:r>
          </w:p>
          <w:p w14:paraId="2E6EB07B" w14:textId="690454A1" w:rsidR="00A352DA" w:rsidRPr="00211C81" w:rsidRDefault="00A352DA" w:rsidP="008D66EC">
            <w:pPr>
              <w:pStyle w:val="TableParagraph"/>
              <w:spacing w:before="1"/>
              <w:ind w:left="241"/>
              <w:jc w:val="left"/>
              <w:rPr>
                <w:color w:val="FFFFFF" w:themeColor="background1"/>
                <w:sz w:val="16"/>
              </w:rPr>
            </w:pPr>
            <w:r w:rsidRPr="00211C81">
              <w:rPr>
                <w:color w:val="FFFFFF" w:themeColor="background1"/>
                <w:w w:val="105"/>
                <w:sz w:val="16"/>
              </w:rPr>
              <w:t>2017</w:t>
            </w:r>
          </w:p>
        </w:tc>
        <w:tc>
          <w:tcPr>
            <w:tcW w:w="851" w:type="dxa"/>
            <w:shd w:val="clear" w:color="auto" w:fill="0057A6"/>
          </w:tcPr>
          <w:p w14:paraId="4983B1DD" w14:textId="77777777" w:rsidR="00A352DA" w:rsidRPr="00211C81" w:rsidRDefault="00A352DA" w:rsidP="008D66EC">
            <w:pPr>
              <w:pStyle w:val="TableParagraph"/>
              <w:spacing w:before="113"/>
              <w:ind w:right="135"/>
              <w:jc w:val="right"/>
              <w:rPr>
                <w:color w:val="FFFFFF" w:themeColor="background1"/>
                <w:sz w:val="16"/>
              </w:rPr>
            </w:pPr>
            <w:r w:rsidRPr="00211C81">
              <w:rPr>
                <w:color w:val="FFFFFF" w:themeColor="background1"/>
                <w:w w:val="105"/>
                <w:sz w:val="16"/>
              </w:rPr>
              <w:t>2019</w:t>
            </w:r>
            <w:r w:rsidRPr="00211C81">
              <w:rPr>
                <w:color w:val="FFFFFF" w:themeColor="background1"/>
                <w:spacing w:val="-9"/>
                <w:w w:val="105"/>
                <w:sz w:val="16"/>
              </w:rPr>
              <w:t xml:space="preserve"> </w:t>
            </w:r>
            <w:r w:rsidRPr="00211C81">
              <w:rPr>
                <w:color w:val="FFFFFF" w:themeColor="background1"/>
                <w:w w:val="105"/>
                <w:sz w:val="16"/>
              </w:rPr>
              <w:t>jft</w:t>
            </w:r>
          </w:p>
          <w:p w14:paraId="14CD17F6" w14:textId="5C4B56E1" w:rsidR="00A352DA" w:rsidRPr="00211C81" w:rsidRDefault="00A352DA" w:rsidP="008D66EC">
            <w:pPr>
              <w:pStyle w:val="TableParagraph"/>
              <w:spacing w:before="1"/>
              <w:ind w:left="121" w:right="114"/>
              <w:rPr>
                <w:color w:val="FFFFFF" w:themeColor="background1"/>
                <w:sz w:val="16"/>
              </w:rPr>
            </w:pPr>
            <w:r w:rsidRPr="00211C81">
              <w:rPr>
                <w:color w:val="FFFFFF" w:themeColor="background1"/>
                <w:w w:val="105"/>
                <w:sz w:val="16"/>
              </w:rPr>
              <w:t>2018</w:t>
            </w:r>
          </w:p>
        </w:tc>
        <w:tc>
          <w:tcPr>
            <w:tcW w:w="992" w:type="dxa"/>
            <w:shd w:val="clear" w:color="auto" w:fill="0057A6"/>
          </w:tcPr>
          <w:p w14:paraId="29067B16" w14:textId="77777777" w:rsidR="00A352DA" w:rsidRPr="00211C81" w:rsidRDefault="00A352DA" w:rsidP="008D66EC">
            <w:pPr>
              <w:pStyle w:val="TableParagraph"/>
              <w:spacing w:before="113"/>
              <w:ind w:left="108" w:right="108"/>
              <w:rPr>
                <w:color w:val="FFFFFF" w:themeColor="background1"/>
                <w:sz w:val="16"/>
              </w:rPr>
            </w:pPr>
            <w:r w:rsidRPr="00211C81">
              <w:rPr>
                <w:color w:val="FFFFFF" w:themeColor="background1"/>
                <w:w w:val="110"/>
                <w:sz w:val="16"/>
              </w:rPr>
              <w:t>2020</w:t>
            </w:r>
            <w:r w:rsidRPr="00211C81">
              <w:rPr>
                <w:color w:val="FFFFFF" w:themeColor="background1"/>
                <w:spacing w:val="-11"/>
                <w:w w:val="110"/>
                <w:sz w:val="16"/>
              </w:rPr>
              <w:t xml:space="preserve"> </w:t>
            </w:r>
            <w:r w:rsidRPr="00211C81">
              <w:rPr>
                <w:color w:val="FFFFFF" w:themeColor="background1"/>
                <w:w w:val="110"/>
                <w:sz w:val="16"/>
              </w:rPr>
              <w:t>jft</w:t>
            </w:r>
          </w:p>
          <w:p w14:paraId="410BFE12" w14:textId="78ACD547" w:rsidR="00A352DA" w:rsidRPr="00211C81" w:rsidRDefault="00A352DA" w:rsidP="008D66EC">
            <w:pPr>
              <w:pStyle w:val="TableParagraph"/>
              <w:spacing w:before="1"/>
              <w:ind w:right="234"/>
              <w:jc w:val="right"/>
              <w:rPr>
                <w:color w:val="FFFFFF" w:themeColor="background1"/>
                <w:sz w:val="16"/>
              </w:rPr>
            </w:pPr>
            <w:r w:rsidRPr="00211C81">
              <w:rPr>
                <w:color w:val="FFFFFF" w:themeColor="background1"/>
                <w:w w:val="105"/>
                <w:sz w:val="16"/>
              </w:rPr>
              <w:t>2019</w:t>
            </w:r>
          </w:p>
        </w:tc>
        <w:tc>
          <w:tcPr>
            <w:tcW w:w="850" w:type="dxa"/>
            <w:shd w:val="clear" w:color="auto" w:fill="0057A6"/>
          </w:tcPr>
          <w:p w14:paraId="083A0326" w14:textId="27572FBE" w:rsidR="00A352DA" w:rsidRPr="00211C81" w:rsidRDefault="00A352DA" w:rsidP="00BB0D9E">
            <w:pPr>
              <w:pStyle w:val="TableParagraph"/>
              <w:spacing w:before="113"/>
              <w:ind w:left="108" w:right="108"/>
              <w:rPr>
                <w:color w:val="FFFFFF" w:themeColor="background1"/>
                <w:sz w:val="16"/>
              </w:rPr>
            </w:pPr>
            <w:r w:rsidRPr="00211C81">
              <w:rPr>
                <w:color w:val="FFFFFF" w:themeColor="background1"/>
                <w:w w:val="110"/>
                <w:sz w:val="16"/>
              </w:rPr>
              <w:t>202</w:t>
            </w:r>
            <w:r>
              <w:rPr>
                <w:color w:val="FFFFFF" w:themeColor="background1"/>
                <w:w w:val="110"/>
                <w:sz w:val="16"/>
              </w:rPr>
              <w:t>1</w:t>
            </w:r>
            <w:r w:rsidRPr="00211C81">
              <w:rPr>
                <w:color w:val="FFFFFF" w:themeColor="background1"/>
                <w:spacing w:val="-11"/>
                <w:w w:val="110"/>
                <w:sz w:val="16"/>
              </w:rPr>
              <w:t xml:space="preserve"> </w:t>
            </w:r>
            <w:r w:rsidRPr="00211C81">
              <w:rPr>
                <w:color w:val="FFFFFF" w:themeColor="background1"/>
                <w:w w:val="110"/>
                <w:sz w:val="16"/>
              </w:rPr>
              <w:t>jft</w:t>
            </w:r>
          </w:p>
          <w:p w14:paraId="383A6475" w14:textId="0F313667" w:rsidR="00A352DA" w:rsidRPr="00211C81" w:rsidRDefault="00A352DA" w:rsidP="00BB0D9E">
            <w:pPr>
              <w:pStyle w:val="TableParagraph"/>
              <w:spacing w:before="6"/>
              <w:rPr>
                <w:color w:val="FFFFFF" w:themeColor="background1"/>
                <w:sz w:val="17"/>
              </w:rPr>
            </w:pPr>
            <w:r w:rsidRPr="00211C81">
              <w:rPr>
                <w:color w:val="FFFFFF" w:themeColor="background1"/>
                <w:w w:val="105"/>
                <w:sz w:val="16"/>
              </w:rPr>
              <w:t>20</w:t>
            </w:r>
            <w:r>
              <w:rPr>
                <w:color w:val="FFFFFF" w:themeColor="background1"/>
                <w:w w:val="105"/>
                <w:sz w:val="16"/>
              </w:rPr>
              <w:t>20</w:t>
            </w:r>
          </w:p>
          <w:p w14:paraId="2C5FF196" w14:textId="2CFBB215" w:rsidR="00A352DA" w:rsidRPr="00211C81" w:rsidRDefault="00A352DA" w:rsidP="00BB0D9E">
            <w:pPr>
              <w:pStyle w:val="TableParagraph"/>
              <w:spacing w:before="1"/>
              <w:ind w:left="108" w:right="107"/>
              <w:rPr>
                <w:color w:val="FFFFFF" w:themeColor="background1"/>
                <w:sz w:val="16"/>
              </w:rPr>
            </w:pPr>
          </w:p>
        </w:tc>
        <w:tc>
          <w:tcPr>
            <w:tcW w:w="851" w:type="dxa"/>
            <w:shd w:val="clear" w:color="auto" w:fill="0057A6"/>
          </w:tcPr>
          <w:p w14:paraId="2DDF6BA0" w14:textId="13F15A88" w:rsidR="00A352DA" w:rsidRPr="00211C81" w:rsidRDefault="00A352DA" w:rsidP="00BB0D9E">
            <w:pPr>
              <w:pStyle w:val="TableParagraph"/>
              <w:ind w:right="94"/>
              <w:rPr>
                <w:color w:val="FFFFFF" w:themeColor="background1"/>
                <w:sz w:val="16"/>
              </w:rPr>
            </w:pPr>
            <w:r w:rsidRPr="00211C81">
              <w:rPr>
                <w:color w:val="FFFFFF" w:themeColor="background1"/>
                <w:w w:val="115"/>
                <w:sz w:val="16"/>
              </w:rPr>
              <w:t>202</w:t>
            </w:r>
            <w:r w:rsidR="00BB0D9E">
              <w:rPr>
                <w:color w:val="FFFFFF" w:themeColor="background1"/>
                <w:w w:val="115"/>
                <w:sz w:val="16"/>
              </w:rPr>
              <w:t>2 jft 2021</w:t>
            </w:r>
          </w:p>
        </w:tc>
        <w:tc>
          <w:tcPr>
            <w:tcW w:w="851" w:type="dxa"/>
            <w:shd w:val="clear" w:color="auto" w:fill="0057A6"/>
          </w:tcPr>
          <w:p w14:paraId="3E627B37" w14:textId="77777777" w:rsidR="003A35D5" w:rsidRDefault="003A35D5" w:rsidP="003A35D5">
            <w:pPr>
              <w:pStyle w:val="TableParagraph"/>
              <w:spacing w:before="0"/>
              <w:ind w:left="94" w:right="94"/>
              <w:rPr>
                <w:color w:val="FFFFFF" w:themeColor="background1"/>
                <w:w w:val="115"/>
                <w:sz w:val="16"/>
              </w:rPr>
            </w:pPr>
          </w:p>
          <w:p w14:paraId="766CDA38" w14:textId="3F79CAB6" w:rsidR="00A352DA" w:rsidRPr="00211C81" w:rsidRDefault="003A35D5" w:rsidP="003A35D5">
            <w:pPr>
              <w:pStyle w:val="TableParagraph"/>
              <w:spacing w:before="0"/>
              <w:ind w:left="94" w:right="94"/>
              <w:rPr>
                <w:color w:val="FFFFFF" w:themeColor="background1"/>
                <w:sz w:val="17"/>
              </w:rPr>
            </w:pPr>
            <w:r w:rsidRPr="003A35D5">
              <w:rPr>
                <w:color w:val="FFFFFF" w:themeColor="background1"/>
                <w:w w:val="115"/>
                <w:sz w:val="16"/>
              </w:rPr>
              <w:t>2022</w:t>
            </w:r>
          </w:p>
        </w:tc>
      </w:tr>
      <w:tr w:rsidR="00A352DA" w:rsidRPr="0028149C" w14:paraId="0F49FAC1" w14:textId="48FC86E3" w:rsidTr="00A352DA">
        <w:trPr>
          <w:trHeight w:val="434"/>
        </w:trPr>
        <w:tc>
          <w:tcPr>
            <w:tcW w:w="3536" w:type="dxa"/>
          </w:tcPr>
          <w:p w14:paraId="383217B7" w14:textId="222682C1" w:rsidR="00A352DA" w:rsidRPr="0028149C" w:rsidRDefault="00A352DA" w:rsidP="008D66EC">
            <w:pPr>
              <w:pStyle w:val="TableParagraph"/>
              <w:ind w:left="107"/>
              <w:jc w:val="left"/>
              <w:rPr>
                <w:sz w:val="16"/>
              </w:rPr>
            </w:pPr>
            <w:r w:rsidRPr="0028149C">
              <w:rPr>
                <w:spacing w:val="-1"/>
                <w:w w:val="110"/>
                <w:sz w:val="16"/>
              </w:rPr>
              <w:t>Ersättning</w:t>
            </w:r>
            <w:r w:rsidRPr="0028149C">
              <w:rPr>
                <w:spacing w:val="-12"/>
                <w:w w:val="110"/>
                <w:sz w:val="16"/>
              </w:rPr>
              <w:t xml:space="preserve"> </w:t>
            </w:r>
            <w:r w:rsidRPr="0028149C">
              <w:rPr>
                <w:spacing w:val="-1"/>
                <w:w w:val="110"/>
                <w:sz w:val="16"/>
              </w:rPr>
              <w:t>Joel Bollö</w:t>
            </w:r>
            <w:r w:rsidRPr="0028149C">
              <w:rPr>
                <w:spacing w:val="-11"/>
                <w:w w:val="110"/>
                <w:sz w:val="16"/>
              </w:rPr>
              <w:t xml:space="preserve"> </w:t>
            </w:r>
            <w:r w:rsidRPr="0028149C">
              <w:rPr>
                <w:w w:val="110"/>
                <w:sz w:val="16"/>
              </w:rPr>
              <w:t>(V</w:t>
            </w:r>
            <w:r>
              <w:rPr>
                <w:w w:val="110"/>
                <w:sz w:val="16"/>
              </w:rPr>
              <w:t>D</w:t>
            </w:r>
            <w:r w:rsidRPr="0028149C">
              <w:rPr>
                <w:w w:val="110"/>
                <w:sz w:val="16"/>
              </w:rPr>
              <w:t>)</w:t>
            </w:r>
          </w:p>
        </w:tc>
        <w:tc>
          <w:tcPr>
            <w:tcW w:w="992" w:type="dxa"/>
          </w:tcPr>
          <w:p w14:paraId="37818C0C" w14:textId="5FA96B7E" w:rsidR="00A352DA" w:rsidRPr="0028149C" w:rsidRDefault="00A352DA" w:rsidP="008D66EC">
            <w:pPr>
              <w:pStyle w:val="TableParagraph"/>
              <w:ind w:left="121" w:right="111"/>
              <w:rPr>
                <w:sz w:val="16"/>
              </w:rPr>
            </w:pPr>
            <w:r w:rsidRPr="0028149C">
              <w:rPr>
                <w:sz w:val="16"/>
              </w:rPr>
              <w:t>21%</w:t>
            </w:r>
          </w:p>
        </w:tc>
        <w:tc>
          <w:tcPr>
            <w:tcW w:w="851" w:type="dxa"/>
          </w:tcPr>
          <w:p w14:paraId="7FE675E8" w14:textId="3034ED6D" w:rsidR="00A352DA" w:rsidRPr="0028149C" w:rsidRDefault="00A352DA" w:rsidP="008D66EC">
            <w:pPr>
              <w:pStyle w:val="TableParagraph"/>
              <w:ind w:left="121" w:right="116"/>
              <w:rPr>
                <w:sz w:val="16"/>
              </w:rPr>
            </w:pPr>
            <w:r w:rsidRPr="0028149C">
              <w:rPr>
                <w:w w:val="95"/>
                <w:sz w:val="16"/>
              </w:rPr>
              <w:t xml:space="preserve">     11%</w:t>
            </w:r>
          </w:p>
        </w:tc>
        <w:tc>
          <w:tcPr>
            <w:tcW w:w="992" w:type="dxa"/>
          </w:tcPr>
          <w:p w14:paraId="47464569" w14:textId="17812D39" w:rsidR="00A352DA" w:rsidRPr="0028149C" w:rsidRDefault="00A352DA" w:rsidP="008D66EC">
            <w:pPr>
              <w:pStyle w:val="TableParagraph"/>
              <w:ind w:right="281"/>
              <w:jc w:val="left"/>
              <w:rPr>
                <w:sz w:val="16"/>
              </w:rPr>
            </w:pPr>
            <w:r>
              <w:rPr>
                <w:sz w:val="16"/>
              </w:rPr>
              <w:t xml:space="preserve">     </w:t>
            </w:r>
            <w:r w:rsidRPr="0028149C">
              <w:rPr>
                <w:sz w:val="16"/>
              </w:rPr>
              <w:t>-3%</w:t>
            </w:r>
          </w:p>
        </w:tc>
        <w:tc>
          <w:tcPr>
            <w:tcW w:w="850" w:type="dxa"/>
          </w:tcPr>
          <w:p w14:paraId="6DE197FF" w14:textId="33E1E044" w:rsidR="00A352DA" w:rsidRPr="0028149C" w:rsidRDefault="00A352DA" w:rsidP="008D66EC">
            <w:pPr>
              <w:pStyle w:val="TableParagraph"/>
              <w:ind w:left="108" w:right="107"/>
              <w:rPr>
                <w:sz w:val="16"/>
              </w:rPr>
            </w:pPr>
            <w:r>
              <w:rPr>
                <w:w w:val="105"/>
                <w:sz w:val="16"/>
              </w:rPr>
              <w:t>3%</w:t>
            </w:r>
          </w:p>
        </w:tc>
        <w:tc>
          <w:tcPr>
            <w:tcW w:w="851" w:type="dxa"/>
          </w:tcPr>
          <w:p w14:paraId="0290FD17" w14:textId="72C086C0" w:rsidR="00A352DA" w:rsidRPr="0028149C" w:rsidRDefault="00A352DA" w:rsidP="00BB0D9E">
            <w:pPr>
              <w:pStyle w:val="TableParagraph"/>
              <w:ind w:left="93" w:right="95"/>
              <w:jc w:val="left"/>
              <w:rPr>
                <w:sz w:val="16"/>
              </w:rPr>
            </w:pPr>
            <w:r>
              <w:rPr>
                <w:w w:val="105"/>
                <w:sz w:val="16"/>
              </w:rPr>
              <w:t xml:space="preserve">   </w:t>
            </w:r>
            <w:r w:rsidR="00BB0D9E">
              <w:rPr>
                <w:w w:val="105"/>
                <w:sz w:val="16"/>
              </w:rPr>
              <w:t>2%</w:t>
            </w:r>
          </w:p>
        </w:tc>
        <w:tc>
          <w:tcPr>
            <w:tcW w:w="851" w:type="dxa"/>
          </w:tcPr>
          <w:p w14:paraId="1ACF85B6" w14:textId="5DDE0024" w:rsidR="00A352DA" w:rsidRDefault="00A352DA" w:rsidP="008D66EC">
            <w:pPr>
              <w:pStyle w:val="TableParagraph"/>
              <w:ind w:left="93" w:right="95"/>
              <w:rPr>
                <w:w w:val="105"/>
                <w:sz w:val="16"/>
              </w:rPr>
            </w:pPr>
            <w:r>
              <w:rPr>
                <w:w w:val="105"/>
                <w:sz w:val="16"/>
              </w:rPr>
              <w:t>4 052</w:t>
            </w:r>
          </w:p>
        </w:tc>
      </w:tr>
      <w:tr w:rsidR="00A352DA" w:rsidRPr="0028149C" w14:paraId="021717E0" w14:textId="26496964" w:rsidTr="00A352DA">
        <w:trPr>
          <w:trHeight w:val="433"/>
        </w:trPr>
        <w:tc>
          <w:tcPr>
            <w:tcW w:w="3536" w:type="dxa"/>
          </w:tcPr>
          <w:p w14:paraId="242575B7" w14:textId="3A4D8291" w:rsidR="00A352DA" w:rsidRPr="0028149C" w:rsidRDefault="00A352DA" w:rsidP="008D66EC">
            <w:pPr>
              <w:pStyle w:val="TableParagraph"/>
              <w:ind w:left="107"/>
              <w:jc w:val="left"/>
              <w:rPr>
                <w:sz w:val="16"/>
              </w:rPr>
            </w:pPr>
            <w:r w:rsidRPr="0028149C">
              <w:rPr>
                <w:spacing w:val="-1"/>
                <w:w w:val="110"/>
                <w:sz w:val="16"/>
              </w:rPr>
              <w:t>Koncernens</w:t>
            </w:r>
            <w:r w:rsidRPr="0028149C">
              <w:rPr>
                <w:spacing w:val="-13"/>
                <w:w w:val="110"/>
                <w:sz w:val="16"/>
              </w:rPr>
              <w:t xml:space="preserve"> </w:t>
            </w:r>
            <w:r w:rsidRPr="0028149C">
              <w:rPr>
                <w:spacing w:val="-1"/>
                <w:w w:val="110"/>
                <w:sz w:val="16"/>
              </w:rPr>
              <w:t>rörelseresultat</w:t>
            </w:r>
            <w:r>
              <w:rPr>
                <w:spacing w:val="-1"/>
                <w:w w:val="110"/>
                <w:sz w:val="16"/>
              </w:rPr>
              <w:t xml:space="preserve"> (EBIT)</w:t>
            </w:r>
          </w:p>
        </w:tc>
        <w:tc>
          <w:tcPr>
            <w:tcW w:w="992" w:type="dxa"/>
          </w:tcPr>
          <w:p w14:paraId="43536FB7" w14:textId="2274F200" w:rsidR="00A352DA" w:rsidRPr="0028149C" w:rsidRDefault="00A352DA" w:rsidP="008D66EC">
            <w:pPr>
              <w:pStyle w:val="TableParagraph"/>
              <w:ind w:left="121" w:right="116"/>
              <w:rPr>
                <w:sz w:val="16"/>
              </w:rPr>
            </w:pPr>
            <w:r>
              <w:rPr>
                <w:sz w:val="16"/>
              </w:rPr>
              <w:t>-53</w:t>
            </w:r>
            <w:r w:rsidRPr="0028149C">
              <w:rPr>
                <w:sz w:val="16"/>
              </w:rPr>
              <w:t>%</w:t>
            </w:r>
          </w:p>
        </w:tc>
        <w:tc>
          <w:tcPr>
            <w:tcW w:w="851" w:type="dxa"/>
          </w:tcPr>
          <w:p w14:paraId="72F1A322" w14:textId="69082350" w:rsidR="00A352DA" w:rsidRPr="0028149C" w:rsidRDefault="00A352DA" w:rsidP="008D66EC">
            <w:pPr>
              <w:pStyle w:val="TableParagraph"/>
              <w:ind w:left="121" w:right="118"/>
              <w:rPr>
                <w:sz w:val="16"/>
              </w:rPr>
            </w:pPr>
            <w:r>
              <w:rPr>
                <w:w w:val="95"/>
                <w:sz w:val="16"/>
              </w:rPr>
              <w:t xml:space="preserve">    -81%</w:t>
            </w:r>
          </w:p>
        </w:tc>
        <w:tc>
          <w:tcPr>
            <w:tcW w:w="992" w:type="dxa"/>
          </w:tcPr>
          <w:p w14:paraId="3B0C3F85" w14:textId="40754878" w:rsidR="00A352DA" w:rsidRPr="0028149C" w:rsidRDefault="00A352DA" w:rsidP="00247677">
            <w:pPr>
              <w:pStyle w:val="TableParagraph"/>
              <w:ind w:left="281" w:right="281"/>
              <w:jc w:val="left"/>
              <w:rPr>
                <w:sz w:val="16"/>
              </w:rPr>
            </w:pPr>
            <w:r>
              <w:rPr>
                <w:sz w:val="16"/>
              </w:rPr>
              <w:t>451%</w:t>
            </w:r>
          </w:p>
        </w:tc>
        <w:tc>
          <w:tcPr>
            <w:tcW w:w="850" w:type="dxa"/>
          </w:tcPr>
          <w:p w14:paraId="5FEDA802" w14:textId="327BA090" w:rsidR="00A352DA" w:rsidRPr="0028149C" w:rsidRDefault="00A352DA" w:rsidP="008D66EC">
            <w:pPr>
              <w:pStyle w:val="TableParagraph"/>
              <w:ind w:left="108" w:right="108"/>
              <w:rPr>
                <w:sz w:val="16"/>
              </w:rPr>
            </w:pPr>
            <w:r>
              <w:rPr>
                <w:w w:val="105"/>
                <w:sz w:val="16"/>
              </w:rPr>
              <w:t>55%</w:t>
            </w:r>
          </w:p>
        </w:tc>
        <w:tc>
          <w:tcPr>
            <w:tcW w:w="851" w:type="dxa"/>
          </w:tcPr>
          <w:p w14:paraId="3B5334A3" w14:textId="13A8A147" w:rsidR="00A352DA" w:rsidRPr="0028149C" w:rsidRDefault="00BB0D9E" w:rsidP="008D66EC">
            <w:pPr>
              <w:pStyle w:val="TableParagraph"/>
              <w:ind w:left="94" w:right="95"/>
              <w:rPr>
                <w:sz w:val="16"/>
              </w:rPr>
            </w:pPr>
            <w:r>
              <w:rPr>
                <w:w w:val="105"/>
                <w:sz w:val="16"/>
              </w:rPr>
              <w:t>-58%</w:t>
            </w:r>
          </w:p>
        </w:tc>
        <w:tc>
          <w:tcPr>
            <w:tcW w:w="851" w:type="dxa"/>
          </w:tcPr>
          <w:p w14:paraId="695CE5BC" w14:textId="66F39BC0" w:rsidR="00A352DA" w:rsidRDefault="003A35D5" w:rsidP="008D66EC">
            <w:pPr>
              <w:pStyle w:val="TableParagraph"/>
              <w:ind w:left="94" w:right="95"/>
              <w:rPr>
                <w:w w:val="105"/>
                <w:sz w:val="16"/>
              </w:rPr>
            </w:pPr>
            <w:r>
              <w:rPr>
                <w:w w:val="105"/>
                <w:sz w:val="16"/>
              </w:rPr>
              <w:t>18 798</w:t>
            </w:r>
          </w:p>
        </w:tc>
      </w:tr>
      <w:tr w:rsidR="00A352DA" w:rsidRPr="0028149C" w14:paraId="6A8B1843" w14:textId="2BE65748" w:rsidTr="00A352DA">
        <w:trPr>
          <w:trHeight w:val="434"/>
        </w:trPr>
        <w:tc>
          <w:tcPr>
            <w:tcW w:w="3536" w:type="dxa"/>
          </w:tcPr>
          <w:p w14:paraId="4AFBAADD" w14:textId="5FBCF017" w:rsidR="00A352DA" w:rsidRPr="0028149C" w:rsidRDefault="00A352DA" w:rsidP="008D66EC">
            <w:pPr>
              <w:pStyle w:val="TableParagraph"/>
              <w:ind w:left="107"/>
              <w:jc w:val="left"/>
              <w:rPr>
                <w:sz w:val="16"/>
              </w:rPr>
            </w:pPr>
            <w:r w:rsidRPr="0028149C">
              <w:rPr>
                <w:w w:val="105"/>
                <w:sz w:val="16"/>
              </w:rPr>
              <w:t>Genomsnittlig</w:t>
            </w:r>
            <w:r w:rsidRPr="0028149C">
              <w:rPr>
                <w:spacing w:val="3"/>
                <w:w w:val="105"/>
                <w:sz w:val="16"/>
              </w:rPr>
              <w:t xml:space="preserve"> </w:t>
            </w:r>
            <w:r w:rsidRPr="0028149C">
              <w:rPr>
                <w:w w:val="105"/>
                <w:sz w:val="16"/>
              </w:rPr>
              <w:t>ersättning</w:t>
            </w:r>
            <w:r w:rsidRPr="0028149C">
              <w:rPr>
                <w:spacing w:val="4"/>
                <w:w w:val="105"/>
                <w:sz w:val="16"/>
              </w:rPr>
              <w:t xml:space="preserve"> </w:t>
            </w:r>
            <w:r w:rsidRPr="0028149C">
              <w:rPr>
                <w:w w:val="105"/>
                <w:sz w:val="16"/>
              </w:rPr>
              <w:t>för</w:t>
            </w:r>
            <w:r w:rsidRPr="0028149C">
              <w:rPr>
                <w:spacing w:val="1"/>
                <w:w w:val="105"/>
                <w:sz w:val="16"/>
              </w:rPr>
              <w:t xml:space="preserve"> </w:t>
            </w:r>
            <w:r w:rsidRPr="0028149C">
              <w:rPr>
                <w:w w:val="105"/>
                <w:sz w:val="16"/>
              </w:rPr>
              <w:t>övriga</w:t>
            </w:r>
            <w:r w:rsidRPr="0028149C">
              <w:rPr>
                <w:spacing w:val="4"/>
                <w:w w:val="105"/>
                <w:sz w:val="16"/>
              </w:rPr>
              <w:t xml:space="preserve"> </w:t>
            </w:r>
            <w:r w:rsidRPr="0028149C">
              <w:rPr>
                <w:w w:val="105"/>
                <w:sz w:val="16"/>
              </w:rPr>
              <w:t>anställda</w:t>
            </w:r>
            <w:r w:rsidRPr="0028149C">
              <w:rPr>
                <w:w w:val="105"/>
                <w:sz w:val="16"/>
                <w:vertAlign w:val="superscript"/>
              </w:rPr>
              <w:t>4</w:t>
            </w:r>
          </w:p>
        </w:tc>
        <w:tc>
          <w:tcPr>
            <w:tcW w:w="992" w:type="dxa"/>
          </w:tcPr>
          <w:p w14:paraId="527DE5F8" w14:textId="5F03184E" w:rsidR="00A352DA" w:rsidRPr="0028149C" w:rsidRDefault="00A352DA" w:rsidP="008D66EC">
            <w:pPr>
              <w:pStyle w:val="TableParagraph"/>
              <w:ind w:left="121" w:right="112"/>
              <w:rPr>
                <w:sz w:val="16"/>
              </w:rPr>
            </w:pPr>
            <w:r w:rsidRPr="0028149C">
              <w:rPr>
                <w:sz w:val="16"/>
              </w:rPr>
              <w:t>1%</w:t>
            </w:r>
          </w:p>
        </w:tc>
        <w:tc>
          <w:tcPr>
            <w:tcW w:w="851" w:type="dxa"/>
          </w:tcPr>
          <w:p w14:paraId="42EC30F6" w14:textId="65290148" w:rsidR="00A352DA" w:rsidRPr="0028149C" w:rsidRDefault="00A352DA" w:rsidP="008D66EC">
            <w:pPr>
              <w:pStyle w:val="TableParagraph"/>
              <w:ind w:left="121" w:right="114"/>
              <w:rPr>
                <w:sz w:val="16"/>
              </w:rPr>
            </w:pPr>
            <w:r w:rsidRPr="0028149C">
              <w:rPr>
                <w:sz w:val="16"/>
              </w:rPr>
              <w:t xml:space="preserve">   -6%</w:t>
            </w:r>
          </w:p>
        </w:tc>
        <w:tc>
          <w:tcPr>
            <w:tcW w:w="992" w:type="dxa"/>
          </w:tcPr>
          <w:p w14:paraId="7A1F2D59" w14:textId="2FF52AFC" w:rsidR="00A352DA" w:rsidRPr="0028149C" w:rsidRDefault="00A352DA" w:rsidP="008D66EC">
            <w:pPr>
              <w:pStyle w:val="TableParagraph"/>
              <w:ind w:right="281"/>
              <w:rPr>
                <w:sz w:val="16"/>
              </w:rPr>
            </w:pPr>
            <w:r>
              <w:rPr>
                <w:w w:val="105"/>
                <w:sz w:val="16"/>
              </w:rPr>
              <w:t xml:space="preserve">     </w:t>
            </w:r>
            <w:r w:rsidRPr="0028149C">
              <w:rPr>
                <w:w w:val="105"/>
                <w:sz w:val="16"/>
              </w:rPr>
              <w:t>2%</w:t>
            </w:r>
          </w:p>
        </w:tc>
        <w:tc>
          <w:tcPr>
            <w:tcW w:w="850" w:type="dxa"/>
          </w:tcPr>
          <w:p w14:paraId="191BA353" w14:textId="6008CD19" w:rsidR="00A352DA" w:rsidRPr="0028149C" w:rsidRDefault="00A352DA" w:rsidP="008D66EC">
            <w:pPr>
              <w:pStyle w:val="TableParagraph"/>
              <w:ind w:left="108" w:right="107"/>
              <w:rPr>
                <w:sz w:val="16"/>
              </w:rPr>
            </w:pPr>
            <w:r>
              <w:rPr>
                <w:w w:val="105"/>
                <w:sz w:val="16"/>
              </w:rPr>
              <w:t>-7%</w:t>
            </w:r>
          </w:p>
        </w:tc>
        <w:tc>
          <w:tcPr>
            <w:tcW w:w="851" w:type="dxa"/>
          </w:tcPr>
          <w:p w14:paraId="54556185" w14:textId="21932E26" w:rsidR="00A352DA" w:rsidRPr="00B9372E" w:rsidRDefault="00B9372E" w:rsidP="008D66EC">
            <w:pPr>
              <w:pStyle w:val="TableParagraph"/>
              <w:ind w:left="94" w:right="95"/>
              <w:rPr>
                <w:sz w:val="16"/>
              </w:rPr>
            </w:pPr>
            <w:r>
              <w:rPr>
                <w:w w:val="105"/>
                <w:sz w:val="16"/>
              </w:rPr>
              <w:t>14%</w:t>
            </w:r>
          </w:p>
        </w:tc>
        <w:tc>
          <w:tcPr>
            <w:tcW w:w="851" w:type="dxa"/>
          </w:tcPr>
          <w:p w14:paraId="3EAF33E8" w14:textId="0FB8FA27" w:rsidR="00A352DA" w:rsidRPr="00B9372E" w:rsidRDefault="00B9372E" w:rsidP="008D66EC">
            <w:pPr>
              <w:pStyle w:val="TableParagraph"/>
              <w:ind w:left="94" w:right="95"/>
              <w:rPr>
                <w:w w:val="105"/>
                <w:sz w:val="16"/>
              </w:rPr>
            </w:pPr>
            <w:r>
              <w:rPr>
                <w:w w:val="105"/>
                <w:sz w:val="16"/>
              </w:rPr>
              <w:t>952</w:t>
            </w:r>
          </w:p>
        </w:tc>
      </w:tr>
    </w:tbl>
    <w:p w14:paraId="752EA039" w14:textId="77777777" w:rsidR="00B333F4" w:rsidRPr="0028149C" w:rsidRDefault="00B333F4" w:rsidP="00B333F4">
      <w:pPr>
        <w:pStyle w:val="BodyText"/>
      </w:pPr>
    </w:p>
    <w:p w14:paraId="1B1904DD" w14:textId="77777777" w:rsidR="00B333F4" w:rsidRPr="0028149C" w:rsidRDefault="00B333F4" w:rsidP="00B333F4">
      <w:pPr>
        <w:pStyle w:val="BodyText"/>
        <w:spacing w:before="8"/>
        <w:rPr>
          <w:sz w:val="29"/>
        </w:rPr>
      </w:pPr>
    </w:p>
    <w:p w14:paraId="00FE4581" w14:textId="7AA94DEF" w:rsidR="00EB0341" w:rsidRPr="0028149C" w:rsidRDefault="0039456A" w:rsidP="0028149C">
      <w:pPr>
        <w:spacing w:before="65"/>
        <w:ind w:left="140" w:right="454"/>
        <w:jc w:val="both"/>
        <w:rPr>
          <w:sz w:val="16"/>
        </w:rPr>
      </w:pPr>
      <w:r w:rsidRPr="0028149C">
        <w:rPr>
          <w:w w:val="110"/>
          <w:sz w:val="16"/>
          <w:vertAlign w:val="superscript"/>
        </w:rPr>
        <w:t>4</w:t>
      </w:r>
      <w:r w:rsidR="00B333F4" w:rsidRPr="0028149C">
        <w:rPr>
          <w:spacing w:val="-9"/>
          <w:w w:val="110"/>
          <w:sz w:val="16"/>
        </w:rPr>
        <w:t xml:space="preserve"> </w:t>
      </w:r>
      <w:r w:rsidR="00B333F4" w:rsidRPr="0028149C">
        <w:rPr>
          <w:w w:val="110"/>
          <w:sz w:val="16"/>
        </w:rPr>
        <w:t>Inkluderar</w:t>
      </w:r>
      <w:r w:rsidR="00B333F4" w:rsidRPr="0028149C">
        <w:rPr>
          <w:spacing w:val="-10"/>
          <w:w w:val="110"/>
          <w:sz w:val="16"/>
        </w:rPr>
        <w:t xml:space="preserve"> </w:t>
      </w:r>
      <w:r w:rsidR="00B333F4" w:rsidRPr="0028149C">
        <w:rPr>
          <w:w w:val="110"/>
          <w:sz w:val="16"/>
        </w:rPr>
        <w:t>samtliga</w:t>
      </w:r>
      <w:r w:rsidR="00B333F4" w:rsidRPr="0028149C">
        <w:rPr>
          <w:spacing w:val="-9"/>
          <w:w w:val="110"/>
          <w:sz w:val="16"/>
        </w:rPr>
        <w:t xml:space="preserve"> </w:t>
      </w:r>
      <w:r w:rsidR="00B333F4" w:rsidRPr="0028149C">
        <w:rPr>
          <w:w w:val="110"/>
          <w:sz w:val="16"/>
        </w:rPr>
        <w:t>anställda</w:t>
      </w:r>
      <w:r w:rsidR="00B9372E">
        <w:rPr>
          <w:w w:val="110"/>
          <w:sz w:val="16"/>
        </w:rPr>
        <w:t xml:space="preserve"> (löner, ersättningar, sociala avgifter och pensioner)</w:t>
      </w:r>
      <w:r w:rsidR="00B333F4" w:rsidRPr="0028149C">
        <w:rPr>
          <w:w w:val="110"/>
          <w:sz w:val="16"/>
        </w:rPr>
        <w:t>,</w:t>
      </w:r>
      <w:r w:rsidR="00B333F4" w:rsidRPr="0028149C">
        <w:rPr>
          <w:spacing w:val="-9"/>
          <w:w w:val="110"/>
          <w:sz w:val="16"/>
        </w:rPr>
        <w:t xml:space="preserve"> </w:t>
      </w:r>
      <w:r w:rsidR="00B333F4" w:rsidRPr="0028149C">
        <w:rPr>
          <w:w w:val="110"/>
          <w:sz w:val="16"/>
        </w:rPr>
        <w:t>exklusive</w:t>
      </w:r>
      <w:r w:rsidR="00B333F4" w:rsidRPr="0028149C">
        <w:rPr>
          <w:spacing w:val="-8"/>
          <w:w w:val="110"/>
          <w:sz w:val="16"/>
        </w:rPr>
        <w:t xml:space="preserve"> </w:t>
      </w:r>
      <w:r w:rsidRPr="0028149C">
        <w:rPr>
          <w:w w:val="110"/>
          <w:sz w:val="16"/>
        </w:rPr>
        <w:t>övriga ledande befattningshavare</w:t>
      </w:r>
      <w:r w:rsidR="00B333F4" w:rsidRPr="0028149C">
        <w:rPr>
          <w:w w:val="110"/>
          <w:sz w:val="16"/>
        </w:rPr>
        <w:t>.</w:t>
      </w:r>
      <w:r w:rsidR="00B333F4" w:rsidRPr="0028149C">
        <w:rPr>
          <w:spacing w:val="-9"/>
          <w:w w:val="110"/>
          <w:sz w:val="16"/>
        </w:rPr>
        <w:t xml:space="preserve"> </w:t>
      </w:r>
      <w:r w:rsidR="005448F1" w:rsidRPr="0028149C">
        <w:tab/>
      </w:r>
    </w:p>
    <w:sectPr w:rsidR="00EB0341" w:rsidRPr="0028149C">
      <w:pgSz w:w="11910" w:h="16840"/>
      <w:pgMar w:top="1380" w:right="9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41"/>
    <w:rsid w:val="000006F1"/>
    <w:rsid w:val="00043968"/>
    <w:rsid w:val="00055778"/>
    <w:rsid w:val="00065F89"/>
    <w:rsid w:val="00067B1D"/>
    <w:rsid w:val="000D337C"/>
    <w:rsid w:val="00136065"/>
    <w:rsid w:val="001431ED"/>
    <w:rsid w:val="0016699F"/>
    <w:rsid w:val="001F09DA"/>
    <w:rsid w:val="00211C81"/>
    <w:rsid w:val="00232AA3"/>
    <w:rsid w:val="00247677"/>
    <w:rsid w:val="00250B1B"/>
    <w:rsid w:val="0028149C"/>
    <w:rsid w:val="00302F04"/>
    <w:rsid w:val="003303DD"/>
    <w:rsid w:val="0034594F"/>
    <w:rsid w:val="0039456A"/>
    <w:rsid w:val="003A35D5"/>
    <w:rsid w:val="003C7D2F"/>
    <w:rsid w:val="003F593A"/>
    <w:rsid w:val="00427F86"/>
    <w:rsid w:val="004B1B54"/>
    <w:rsid w:val="004C0092"/>
    <w:rsid w:val="0053136C"/>
    <w:rsid w:val="005430C3"/>
    <w:rsid w:val="005448F1"/>
    <w:rsid w:val="0062505D"/>
    <w:rsid w:val="00655DF5"/>
    <w:rsid w:val="006C4706"/>
    <w:rsid w:val="007221D1"/>
    <w:rsid w:val="00761CA1"/>
    <w:rsid w:val="007A6812"/>
    <w:rsid w:val="008062B0"/>
    <w:rsid w:val="00824EA7"/>
    <w:rsid w:val="008668E2"/>
    <w:rsid w:val="00894398"/>
    <w:rsid w:val="008D4FEF"/>
    <w:rsid w:val="008D607F"/>
    <w:rsid w:val="008D66EC"/>
    <w:rsid w:val="00983BA5"/>
    <w:rsid w:val="009A61E9"/>
    <w:rsid w:val="009D0384"/>
    <w:rsid w:val="00A352DA"/>
    <w:rsid w:val="00AB53B4"/>
    <w:rsid w:val="00AB5809"/>
    <w:rsid w:val="00B02F1C"/>
    <w:rsid w:val="00B333F4"/>
    <w:rsid w:val="00B77363"/>
    <w:rsid w:val="00B9372E"/>
    <w:rsid w:val="00BA1617"/>
    <w:rsid w:val="00BB0D9E"/>
    <w:rsid w:val="00BB6328"/>
    <w:rsid w:val="00BC2171"/>
    <w:rsid w:val="00BC23FC"/>
    <w:rsid w:val="00C45367"/>
    <w:rsid w:val="00C52952"/>
    <w:rsid w:val="00C5343C"/>
    <w:rsid w:val="00C8664B"/>
    <w:rsid w:val="00C973C9"/>
    <w:rsid w:val="00D16350"/>
    <w:rsid w:val="00D3045F"/>
    <w:rsid w:val="00D5536D"/>
    <w:rsid w:val="00D61CE3"/>
    <w:rsid w:val="00D8227F"/>
    <w:rsid w:val="00DB2E14"/>
    <w:rsid w:val="00DF12EB"/>
    <w:rsid w:val="00DF69FF"/>
    <w:rsid w:val="00E32E12"/>
    <w:rsid w:val="00E62F57"/>
    <w:rsid w:val="00EA3937"/>
    <w:rsid w:val="00EB0341"/>
    <w:rsid w:val="00EB29E2"/>
    <w:rsid w:val="00EC03EF"/>
    <w:rsid w:val="00EE27BC"/>
    <w:rsid w:val="00EF0FF6"/>
    <w:rsid w:val="00F910AC"/>
    <w:rsid w:val="00FD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D8E5"/>
  <w15:docId w15:val="{30BC551B-10AA-45BD-B294-5384DFCF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sv-SE"/>
    </w:rPr>
  </w:style>
  <w:style w:type="paragraph" w:styleId="Heading1">
    <w:name w:val="heading 1"/>
    <w:basedOn w:val="Normal"/>
    <w:uiPriority w:val="9"/>
    <w:qFormat/>
    <w:pPr>
      <w:ind w:left="14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1"/>
      <w:ind w:left="14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jc w:val="center"/>
    </w:pPr>
  </w:style>
  <w:style w:type="character" w:styleId="Hyperlink">
    <w:name w:val="Hyperlink"/>
    <w:basedOn w:val="DefaultParagraphFont"/>
    <w:uiPriority w:val="99"/>
    <w:unhideWhenUsed/>
    <w:rsid w:val="004C0092"/>
    <w:rPr>
      <w:color w:val="0000FF" w:themeColor="hyperlink"/>
      <w:u w:val="single"/>
    </w:rPr>
  </w:style>
  <w:style w:type="character" w:styleId="UnresolvedMention">
    <w:name w:val="Unresolved Mention"/>
    <w:basedOn w:val="DefaultParagraphFont"/>
    <w:uiPriority w:val="99"/>
    <w:semiHidden/>
    <w:unhideWhenUsed/>
    <w:rsid w:val="004C0092"/>
    <w:rPr>
      <w:color w:val="605E5C"/>
      <w:shd w:val="clear" w:color="auto" w:fill="E1DFDD"/>
    </w:rPr>
  </w:style>
  <w:style w:type="paragraph" w:styleId="Revision">
    <w:name w:val="Revision"/>
    <w:hidden/>
    <w:uiPriority w:val="99"/>
    <w:semiHidden/>
    <w:rsid w:val="00EF0FF6"/>
    <w:pPr>
      <w:widowControl/>
      <w:autoSpaceDE/>
      <w:autoSpaceDN/>
    </w:pPr>
    <w:rPr>
      <w:rFonts w:ascii="Tahoma" w:eastAsia="Tahoma" w:hAnsi="Tahoma" w:cs="Tahoma"/>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sab.com/investerare/bolagsstyrning/.%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90595624356F42BE384E6DC659B796" ma:contentTypeVersion="17" ma:contentTypeDescription="Skapa ett nytt dokument." ma:contentTypeScope="" ma:versionID="9f4f7174ae78da47b84dfa590a7c508e">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316238ff49acc848aa21e2babc57fb78"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02cc97-b8ff-4ac2-81d2-37d89fa289c0" xsi:nil="true"/>
    <lcf76f155ced4ddcb4097134ff3c332f xmlns="e7b5c769-6ef7-406e-8207-b7e488bd6ec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5ABF0-1BF6-48D1-8250-2E04558E60E3}"/>
</file>

<file path=customXml/itemProps2.xml><?xml version="1.0" encoding="utf-8"?>
<ds:datastoreItem xmlns:ds="http://schemas.openxmlformats.org/officeDocument/2006/customXml" ds:itemID="{E3A231DE-A36E-459D-B57E-6EAF46DACCBB}">
  <ds:schemaRefs>
    <ds:schemaRef ds:uri="http://schemas.microsoft.com/office/2006/metadata/properties"/>
    <ds:schemaRef ds:uri="http://schemas.microsoft.com/office/infopath/2007/PartnerControls"/>
    <ds:schemaRef ds:uri="3802cc97-b8ff-4ac2-81d2-37d89fa289c0"/>
    <ds:schemaRef ds:uri="e7b5c769-6ef7-406e-8207-b7e488bd6ec2"/>
  </ds:schemaRefs>
</ds:datastoreItem>
</file>

<file path=customXml/itemProps3.xml><?xml version="1.0" encoding="utf-8"?>
<ds:datastoreItem xmlns:ds="http://schemas.openxmlformats.org/officeDocument/2006/customXml" ds:itemID="{5866C905-39E4-421C-B205-B70F50ED588F}">
  <ds:schemaRefs>
    <ds:schemaRef ds:uri="http://schemas.openxmlformats.org/officeDocument/2006/bibliography"/>
  </ds:schemaRefs>
</ds:datastoreItem>
</file>

<file path=customXml/itemProps4.xml><?xml version="1.0" encoding="utf-8"?>
<ds:datastoreItem xmlns:ds="http://schemas.openxmlformats.org/officeDocument/2006/customXml" ds:itemID="{2A6D8A3C-2146-4CDF-8EC9-D652620AC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1016</Words>
  <Characters>5793</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Nyholm</dc:creator>
  <cp:lastModifiedBy>Tony Forsgren</cp:lastModifiedBy>
  <cp:revision>8</cp:revision>
  <cp:lastPrinted>2023-04-03T10:29:00Z</cp:lastPrinted>
  <dcterms:created xsi:type="dcterms:W3CDTF">2023-03-30T08:21:00Z</dcterms:created>
  <dcterms:modified xsi:type="dcterms:W3CDTF">2023-04-03T10:45:00Z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2016</vt:lpwstr>
  </property>
  <property fmtid="{D5CDD505-2E9C-101B-9397-08002B2CF9AE}" pid="4" name="LastSaved">
    <vt:filetime>2021-05-04T00:00:00Z</vt:filetime>
  </property>
  <property fmtid="{D5CDD505-2E9C-101B-9397-08002B2CF9AE}" pid="5" name="ContentTypeId">
    <vt:lpwstr>0x010100D990595624356F42BE384E6DC659B796</vt:lpwstr>
  </property>
  <property fmtid="{D5CDD505-2E9C-101B-9397-08002B2CF9AE}" pid="6" name="MediaServiceImageTags">
    <vt:lpwstr/>
  </property>
</Properties>
</file>